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FA8" w:rsidRDefault="00FE47E0">
      <w:pPr>
        <w:rPr>
          <w:rFonts w:ascii="ＭＳ ゴシック" w:eastAsia="ＭＳ ゴシック" w:hAnsi="ＭＳ ゴシック"/>
          <w:sz w:val="24"/>
        </w:rPr>
      </w:pPr>
      <w:r>
        <w:rPr>
          <w:noProof/>
        </w:rPr>
        <mc:AlternateContent>
          <mc:Choice Requires="wps">
            <w:drawing>
              <wp:anchor distT="0" distB="0" distL="114300" distR="114300" simplePos="0" relativeHeight="251693056" behindDoc="0" locked="0" layoutInCell="1" allowOverlap="1">
                <wp:simplePos x="0" y="0"/>
                <wp:positionH relativeFrom="column">
                  <wp:posOffset>7760970</wp:posOffset>
                </wp:positionH>
                <wp:positionV relativeFrom="paragraph">
                  <wp:posOffset>340</wp:posOffset>
                </wp:positionV>
                <wp:extent cx="2819400" cy="607060"/>
                <wp:effectExtent l="0" t="0" r="0" b="0"/>
                <wp:wrapSquare wrapText="bothSides"/>
                <wp:docPr id="3" name="テキスト ボックス 2">
                  <a:extLst xmlns:a="http://schemas.openxmlformats.org/drawingml/2006/main">
                    <a:ext uri="{FF2B5EF4-FFF2-40B4-BE49-F238E27FC236}">
                      <a16:creationId xmlns:a16="http://schemas.microsoft.com/office/drawing/2014/main" id="{03118A09-96C7-46C3-A6C5-E0FB33922CF2}"/>
                    </a:ext>
                  </a:extLst>
                </wp:docPr>
                <wp:cNvGraphicFramePr/>
                <a:graphic xmlns:a="http://schemas.openxmlformats.org/drawingml/2006/main">
                  <a:graphicData uri="http://schemas.microsoft.com/office/word/2010/wordprocessingShape">
                    <wps:wsp>
                      <wps:cNvSpPr txBox="1"/>
                      <wps:spPr>
                        <a:xfrm>
                          <a:off x="0" y="0"/>
                          <a:ext cx="2819400" cy="607060"/>
                        </a:xfrm>
                        <a:prstGeom prst="rect">
                          <a:avLst/>
                        </a:prstGeom>
                        <a:noFill/>
                      </wps:spPr>
                      <wps:txbx>
                        <w:txbxContent>
                          <w:p w:rsidR="00FE47E0" w:rsidRDefault="00FE47E0">
                            <w:pPr>
                              <w:pStyle w:val="Web"/>
                              <w:spacing w:before="0" w:beforeAutospacing="0" w:after="0" w:afterAutospacing="0"/>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４ 個別保健事業の実施内容</w:t>
                            </w:r>
                          </w:p>
                          <w:p w:rsidR="00FE47E0" w:rsidRDefault="00FE47E0">
                            <w:pPr>
                              <w:pStyle w:v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1.1pt;margin-top:.05pt;width:222pt;height: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" filled="f" stroked="f">
                <v:textbox>
                  <w:txbxContent>
                    <w:p w:rsidR="00FE47E0" w:rsidRDefault="00FE47E0">
                      <w:pPr>
                        <w:pStyle w:val="Web"/>
                        <w:spacing w:before="0" w:beforeAutospacing="0" w:after="0" w:afterAutospacing="0"/>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４ 個別保健事業の実施内容</w:t>
                      </w:r>
                    </w:p>
                    <w:p w:rsidR="00FE47E0" w:rsidRDefault="00FE47E0">
                      <w:pPr>
                        <w:pStyle w:val="Web"/>
                        <w:spacing w:before="0" w:beforeAutospacing="0" w:after="0" w:afterAutospacing="0"/>
                      </w:pPr>
                    </w:p>
                  </w:txbxContent>
                </v:textbox>
                <w10:wrap type="square"/>
              </v:shape>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0</wp:posOffset>
                </wp:positionV>
                <wp:extent cx="6091555" cy="819150"/>
                <wp:effectExtent l="0" t="0" r="23495" b="19050"/>
                <wp:wrapNone/>
                <wp:docPr id="23" name="角丸四角形 23"/>
                <wp:cNvGraphicFramePr/>
                <a:graphic xmlns:a="http://schemas.openxmlformats.org/drawingml/2006/main">
                  <a:graphicData uri="http://schemas.microsoft.com/office/word/2010/wordprocessingShape">
                    <wps:wsp>
                      <wps:cNvSpPr/>
                      <wps:spPr>
                        <a:xfrm>
                          <a:off x="0" y="0"/>
                          <a:ext cx="6091555" cy="819150"/>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rsidR="00FE47E0" w:rsidRDefault="00FE47E0">
                            <w:pPr>
                              <w:spacing w:line="480" w:lineRule="exact"/>
                              <w:jc w:val="cente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鶴ヶ島市国民</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保健事業実施計画（データヘルス</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E47E0" w:rsidRDefault="00FE47E0">
                            <w:pPr>
                              <w:spacing w:line="480" w:lineRule="exact"/>
                              <w:jc w:val="center"/>
                              <w:rPr>
                                <w:rFonts w:ascii="ＭＳ Ｐゴシック" w:eastAsia="ＭＳ Ｐゴシック" w:hAnsi="ＭＳ Ｐゴシック"/>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及び第３期鶴ヶ島市特定健康診査等実施計画</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中間評価概要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7" style="position:absolute;left:0;text-align:left;margin-left:0;margin-top:0;width:479.65pt;height:6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" fillcolor="#b4c7e7" strokecolor="#2f528f" strokeweight="1pt">
                <v:stroke joinstyle="miter"/>
                <v:textbox>
                  <w:txbxContent>
                    <w:p w:rsidR="00FE47E0" w:rsidRDefault="00FE47E0">
                      <w:pPr>
                        <w:spacing w:line="480" w:lineRule="exact"/>
                        <w:jc w:val="cente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鶴ヶ島市国民</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保険</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保健事業実施計画（データヘルス</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計画</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E47E0" w:rsidRDefault="00FE47E0">
                      <w:pPr>
                        <w:spacing w:line="480" w:lineRule="exact"/>
                        <w:jc w:val="center"/>
                        <w:rPr>
                          <w:rFonts w:ascii="ＭＳ Ｐゴシック" w:eastAsia="ＭＳ Ｐゴシック" w:hAnsi="ＭＳ Ｐゴシック"/>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ＭＳ Ｐゴシック" w:eastAsia="ＭＳ Ｐゴシック" w:hAnsi="ＭＳ Ｐゴシック"/>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及び第３期鶴ヶ島市特定健康診査等実施計画</w:t>
                      </w:r>
                      <w:r>
                        <w:rPr>
                          <w:rFonts w:ascii="ＭＳ Ｐゴシック" w:eastAsia="ＭＳ Ｐゴシック" w:hAnsi="ＭＳ Ｐゴシック"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中間評価概要</w:t>
                      </w:r>
                    </w:p>
                  </w:txbxContent>
                </v:textbox>
                <w10:wrap anchorx="margin"/>
              </v:roundrect>
            </w:pict>
          </mc:Fallback>
        </mc:AlternateContent>
      </w:r>
    </w:p>
    <w:p w:rsidR="00C31FA8" w:rsidRDefault="00FE47E0">
      <w:pPr>
        <w:widowControl/>
        <w:jc w:val="left"/>
        <w:rPr>
          <w:rFonts w:ascii="ＭＳ ゴシック" w:eastAsia="ＭＳ ゴシック" w:hAnsi="ＭＳ ゴシック"/>
          <w:sz w:val="24"/>
        </w:rPr>
      </w:pPr>
      <w:r>
        <w:rPr>
          <w:noProof/>
          <w:sz w:val="22"/>
        </w:rPr>
        <mc:AlternateContent>
          <mc:Choice Requires="wps">
            <w:drawing>
              <wp:anchor distT="0" distB="0" distL="114300" distR="114300" simplePos="0" relativeHeight="251684864" behindDoc="0" locked="0" layoutInCell="1" allowOverlap="1">
                <wp:simplePos x="0" y="0"/>
                <wp:positionH relativeFrom="margin">
                  <wp:posOffset>169545</wp:posOffset>
                </wp:positionH>
                <wp:positionV relativeFrom="paragraph">
                  <wp:posOffset>4034439</wp:posOffset>
                </wp:positionV>
                <wp:extent cx="1261745" cy="307340"/>
                <wp:effectExtent l="0" t="0" r="0" b="0"/>
                <wp:wrapNone/>
                <wp:docPr id="5" name="テキスト ボックス 1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261745" cy="307340"/>
                        </a:xfrm>
                        <a:prstGeom prst="rect">
                          <a:avLst/>
                        </a:prstGeom>
                        <a:noFill/>
                      </wps:spPr>
                      <wps:txbx>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２　中間評価</w:t>
                            </w:r>
                          </w:p>
                        </w:txbxContent>
                      </wps:txbx>
                      <wps:bodyPr wrap="none" rtlCol="0">
                        <a:spAutoFit/>
                      </wps:bodyPr>
                    </wps:wsp>
                  </a:graphicData>
                </a:graphic>
              </wp:anchor>
            </w:drawing>
          </mc:Choice>
          <mc:Fallback>
            <w:pict>
              <v:shape id="テキスト ボックス 11" o:spid="_x0000_s1028" type="#_x0000_t202" style="position:absolute;margin-left:13.35pt;margin-top:317.65pt;width:99.35pt;height:24.2pt;z-index:2516848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" filled="f" stroked="f">
                <v:textbox style="mso-fit-shape-to-text:t">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２　中間評価</w:t>
                      </w:r>
                    </w:p>
                  </w:txbxContent>
                </v:textbox>
                <w10:wrap anchorx="margin"/>
              </v:shape>
            </w:pict>
          </mc:Fallback>
        </mc:AlternateContent>
      </w:r>
      <w:r>
        <w:rPr>
          <w:noProof/>
          <w:sz w:val="22"/>
        </w:rPr>
        <mc:AlternateContent>
          <mc:Choice Requires="wps">
            <w:drawing>
              <wp:anchor distT="0" distB="0" distL="114300" distR="114300" simplePos="0" relativeHeight="251686912" behindDoc="0" locked="0" layoutInCell="1" allowOverlap="1">
                <wp:simplePos x="0" y="0"/>
                <wp:positionH relativeFrom="margin">
                  <wp:posOffset>263525</wp:posOffset>
                </wp:positionH>
                <wp:positionV relativeFrom="paragraph">
                  <wp:posOffset>4488578</wp:posOffset>
                </wp:positionV>
                <wp:extent cx="5657850" cy="1471930"/>
                <wp:effectExtent l="0" t="0" r="19050" b="13970"/>
                <wp:wrapNone/>
                <wp:docPr id="7" name="テキスト ボックス 6">
                  <a:extLst xmlns:a="http://schemas.openxmlformats.org/drawingml/2006/main">
                    <a:ext uri="{FF2B5EF4-FFF2-40B4-BE49-F238E27FC236}">
                      <a16:creationId xmlns:a16="http://schemas.microsoft.com/office/drawing/2014/main" id="{34342F63-981C-46AC-860A-B15C2265933E}"/>
                    </a:ext>
                  </a:extLst>
                </wp:docPr>
                <wp:cNvGraphicFramePr/>
                <a:graphic xmlns:a="http://schemas.openxmlformats.org/drawingml/2006/main">
                  <a:graphicData uri="http://schemas.microsoft.com/office/word/2010/wordprocessingShape">
                    <wps:wsp>
                      <wps:cNvSpPr txBox="1"/>
                      <wps:spPr>
                        <a:xfrm>
                          <a:off x="0" y="0"/>
                          <a:ext cx="5657850" cy="1471930"/>
                        </a:xfrm>
                        <a:prstGeom prst="rect">
                          <a:avLst/>
                        </a:prstGeom>
                        <a:noFill/>
                        <a:ln>
                          <a:solidFill>
                            <a:sysClr val="windowText" lastClr="000000"/>
                          </a:solidFill>
                        </a:ln>
                      </wps:spPr>
                      <wps:txbx>
                        <w:txbxContent>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●実施時期　</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令和２年度（計画策定の中間年度）</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●目的　</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計画全体並びに個別保健事業の実績等を振り返り、データ分析等をもとに目標達成状況や実施内容を評価。計画期間の後半により効果的な保健事業を推進できるよう見直しを行う。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20.75pt;margin-top:353.45pt;width:445.5pt;height:115.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" filled="f" strokecolor="windowText">
                <v:textbox>
                  <w:txbxContent>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●実施時期　</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令和２年度（計画策定の中間年度）</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●目的　</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 xml:space="preserve">　計画全体並びに個別保健事業の実績等を振り返り、データ分析等をもとに目標達成状況や実施内容を評価。計画期間の後半により効果的な保健事業を推進できるよう見直しを行う。</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posOffset>6932428</wp:posOffset>
                </wp:positionH>
                <wp:positionV relativeFrom="paragraph">
                  <wp:posOffset>148856</wp:posOffset>
                </wp:positionV>
                <wp:extent cx="8205470" cy="9516140"/>
                <wp:effectExtent l="0" t="0" r="5080" b="8890"/>
                <wp:wrapNone/>
                <wp:docPr id="2" name="正方形/長方形 2"/>
                <wp:cNvGraphicFramePr/>
                <a:graphic xmlns:a="http://schemas.openxmlformats.org/drawingml/2006/main">
                  <a:graphicData uri="http://schemas.microsoft.com/office/word/2010/wordprocessingShape">
                    <wps:wsp>
                      <wps:cNvSpPr/>
                      <wps:spPr>
                        <a:xfrm>
                          <a:off x="0" y="0"/>
                          <a:ext cx="8205470" cy="9516140"/>
                        </a:xfrm>
                        <a:prstGeom prst="rect">
                          <a:avLst/>
                        </a:prstGeom>
                        <a:solidFill>
                          <a:sysClr val="window" lastClr="FFFFFF"/>
                        </a:solidFill>
                        <a:ln w="12700" cap="flat" cmpd="sng" algn="ctr">
                          <a:noFill/>
                          <a:prstDash val="solid"/>
                          <a:miter lim="800000"/>
                        </a:ln>
                        <a:effectLst/>
                      </wps:spPr>
                      <wps:txbx>
                        <w:txbxContent>
                          <w:tbl>
                            <w:tblPr>
                              <w:tblW w:w="10049" w:type="dxa"/>
                              <w:tblInd w:w="1317" w:type="dxa"/>
                              <w:tblCellMar>
                                <w:left w:w="0" w:type="dxa"/>
                                <w:right w:w="0" w:type="dxa"/>
                              </w:tblCellMar>
                              <w:tblLook w:val="0620" w:firstRow="1" w:lastRow="0" w:firstColumn="0" w:lastColumn="0" w:noHBand="1" w:noVBand="1"/>
                            </w:tblPr>
                            <w:tblGrid>
                              <w:gridCol w:w="2359"/>
                              <w:gridCol w:w="3685"/>
                              <w:gridCol w:w="1985"/>
                              <w:gridCol w:w="2020"/>
                            </w:tblGrid>
                            <w:tr w:rsidR="00FE47E0">
                              <w:trPr>
                                <w:trHeight w:val="442"/>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個別事業名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取り組み内容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評価指標・目標</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 xml:space="preserve">達成状況　　　　</w:t>
                                  </w:r>
                                </w:p>
                              </w:tc>
                            </w:tr>
                            <w:tr w:rsidR="00FE47E0">
                              <w:trPr>
                                <w:trHeight w:val="2294"/>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１ 特定健康診査受診率向上対策事業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・受診勧奨通知の送付（年代別から特性別）</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・人間ドック、職場健診等の健診結果の収集</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受診率</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４４％</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４４．１％</w:t>
                                  </w:r>
                                </w:p>
                              </w:tc>
                            </w:tr>
                            <w:tr w:rsidR="00FE47E0">
                              <w:trPr>
                                <w:trHeight w:val="2044"/>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２ 特定保健指導実施率向上対策事業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・電話、通知による利用勧奨</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・指導を受けやすい環境の整備</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利用率</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３０％</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未達成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１７．０％</w:t>
                                  </w:r>
                                </w:p>
                              </w:tc>
                            </w:tr>
                            <w:tr w:rsidR="00FE47E0">
                              <w:trPr>
                                <w:trHeight w:val="2730"/>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３ 生活習慣病重症化予防対策事業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・受診勧奨（糖尿病リスク保有者・治療中断者）</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・保健指導（糖尿病性腎症重症化リスク保有者）</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・継続支援（保健指導修了者）</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透析移行者数</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０人</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０人</w:t>
                                  </w:r>
                                </w:p>
                              </w:tc>
                            </w:tr>
                            <w:tr w:rsidR="00FE47E0">
                              <w:trPr>
                                <w:trHeight w:val="2918"/>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４ 循環器疾患、</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がん予防対策事業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・受診勧奨値以上の者への健康相談</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・がん検診精密検査対象者への受診勧奨</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・がん検診の周知及び受診しやすい環境整備</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特定健康診査受診者の中で血中脂質（LDLコレステロール値）が受診勧奨値以上の者の割合</w:t>
                                  </w:r>
                                </w:p>
                                <w:p w:rsidR="00FE47E0" w:rsidRDefault="00FE47E0">
                                  <w:pPr>
                                    <w:widowControl/>
                                    <w:jc w:val="center"/>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２０％未満</w:t>
                                  </w:r>
                                </w:p>
                                <w:p w:rsidR="00FE47E0" w:rsidRDefault="00FE47E0">
                                  <w:pPr>
                                    <w:widowControl/>
                                    <w:ind w:firstLineChars="50" w:firstLine="180"/>
                                    <w:rPr>
                                      <w:rFonts w:ascii="Arial" w:eastAsia="ＭＳ Ｐゴシック" w:hAnsi="Arial" w:cs="Arial"/>
                                      <w:kern w:val="0"/>
                                      <w:sz w:val="36"/>
                                      <w:szCs w:val="36"/>
                                    </w:rPr>
                                  </w:pP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 xml:space="preserve">未達成　　　30.6％　</w:t>
                                  </w:r>
                                </w:p>
                                <w:p w:rsidR="00FE47E0" w:rsidRDefault="00FE47E0">
                                  <w:pPr>
                                    <w:widowControl/>
                                    <w:jc w:val="center"/>
                                    <w:rPr>
                                      <w:rFonts w:ascii="HG丸ｺﾞｼｯｸM-PRO" w:eastAsia="HG丸ｺﾞｼｯｸM-PRO" w:hAnsi="HG丸ｺﾞｼｯｸM-PRO" w:cs="Arial"/>
                                      <w:kern w:val="0"/>
                                      <w:sz w:val="36"/>
                                      <w:szCs w:val="36"/>
                                    </w:rPr>
                                  </w:pPr>
                                </w:p>
                              </w:tc>
                            </w:tr>
                            <w:tr w:rsidR="00FE47E0">
                              <w:trPr>
                                <w:trHeight w:val="2980"/>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５ 医療費適正化事業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・医療費通知の発送</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・ジェネリック医薬品利用差額通知の発送</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・頻回受診・重複服薬者への個別指導</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ジェネリック医薬品数量シェア80％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達成</w:t>
                                  </w:r>
                                </w:p>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81.2％</w:t>
                                  </w:r>
                                </w:p>
                              </w:tc>
                            </w:tr>
                          </w:tbl>
                          <w:p w:rsidR="00FE47E0" w:rsidRDefault="00FE47E0">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 xml:space="preserve">※評価指標・目標は令和元年度の数値　　　　　　　　　　　　　　　　　　　　　　　　　　　　　　　　　　　　　　　　　　　　　　　　　　　　　　　　　　　　　　　　　　　　　　　　　　</w:t>
                            </w: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margin-left:545.85pt;margin-top:11.7pt;width:646.1pt;height:749.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" fillcolor="window" stroked="f" strokeweight="1pt">
                <v:textbox>
                  <w:txbxContent>
                    <w:tbl>
                      <w:tblPr>
                        <w:tblW w:w="10049" w:type="dxa"/>
                        <w:tblInd w:w="1317" w:type="dxa"/>
                        <w:tblCellMar>
                          <w:left w:w="0" w:type="dxa"/>
                          <w:right w:w="0" w:type="dxa"/>
                        </w:tblCellMar>
                        <w:tblLook w:val="0620" w:firstRow="1" w:lastRow="0" w:firstColumn="0" w:lastColumn="0" w:noHBand="1" w:noVBand="1"/>
                      </w:tblPr>
                      <w:tblGrid>
                        <w:gridCol w:w="2359"/>
                        <w:gridCol w:w="3685"/>
                        <w:gridCol w:w="1985"/>
                        <w:gridCol w:w="2020"/>
                      </w:tblGrid>
                      <w:tr w:rsidR="00FE47E0">
                        <w:trPr>
                          <w:trHeight w:val="442"/>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個別事業名</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取り組み内容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評価指標・目標</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spacing w:line="480" w:lineRule="auto"/>
                              <w:jc w:val="center"/>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 xml:space="preserve">達成状況　　　　</w:t>
                            </w:r>
                          </w:p>
                        </w:tc>
                      </w:tr>
                      <w:tr w:rsidR="00FE47E0">
                        <w:trPr>
                          <w:trHeight w:val="2294"/>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１ 特定健康診査受診率向上対策事業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・受診勧奨通知の送付（年代別から特性別）</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・人間ドック、職場健診等の健診結果の収集</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受診率</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４４％</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４４．１％</w:t>
                            </w:r>
                          </w:p>
                        </w:tc>
                      </w:tr>
                      <w:tr w:rsidR="00FE47E0">
                        <w:trPr>
                          <w:trHeight w:val="2044"/>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２ 特定保健指導実施率向上対策事業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・電話、通知による利用勧奨</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・指導を受けやすい環境の整備</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利用率</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３０％</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未達成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１７．０％</w:t>
                            </w:r>
                          </w:p>
                        </w:tc>
                      </w:tr>
                      <w:tr w:rsidR="00FE47E0">
                        <w:trPr>
                          <w:trHeight w:val="2730"/>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３ 生活習慣病重症化予防対策事業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・受診勧奨（糖尿病リスク保有者・治療中断者）</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・保健指導（糖尿病性腎症重症化リスク保有者）</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・継続支援（保健指導修了者）</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透析移行者数</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０人</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達成</w:t>
                            </w:r>
                          </w:p>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０人</w:t>
                            </w:r>
                          </w:p>
                        </w:tc>
                      </w:tr>
                      <w:tr w:rsidR="00FE47E0">
                        <w:trPr>
                          <w:trHeight w:val="2918"/>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４ 循環器疾患、</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がん予防対策事業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・受診勧奨値以上の者への健康相談</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・がん検診精密検査対象者への受診勧奨</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・がん検診の周知及び受診しやすい環境整備</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特定健康診査受診者の中で血中脂質（LDLコレステロール値）が受診勧奨値以上の者の割合</w:t>
                            </w:r>
                          </w:p>
                          <w:p w:rsidR="00FE47E0" w:rsidRDefault="00FE47E0">
                            <w:pPr>
                              <w:widowControl/>
                              <w:jc w:val="center"/>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２０％未満</w:t>
                            </w:r>
                          </w:p>
                          <w:p w:rsidR="00FE47E0" w:rsidRDefault="00FE47E0">
                            <w:pPr>
                              <w:widowControl/>
                              <w:ind w:firstLineChars="50" w:firstLine="180"/>
                              <w:rPr>
                                <w:rFonts w:ascii="Arial" w:eastAsia="ＭＳ Ｐゴシック" w:hAnsi="Arial" w:cs="Arial"/>
                                <w:kern w:val="0"/>
                                <w:sz w:val="36"/>
                                <w:szCs w:val="36"/>
                              </w:rPr>
                            </w:pP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 xml:space="preserve">未達成　　　30.6％　</w:t>
                            </w:r>
                          </w:p>
                          <w:p w:rsidR="00FE47E0" w:rsidRDefault="00FE47E0">
                            <w:pPr>
                              <w:widowControl/>
                              <w:jc w:val="center"/>
                              <w:rPr>
                                <w:rFonts w:ascii="HG丸ｺﾞｼｯｸM-PRO" w:eastAsia="HG丸ｺﾞｼｯｸM-PRO" w:hAnsi="HG丸ｺﾞｼｯｸM-PRO" w:cs="Arial"/>
                                <w:kern w:val="0"/>
                                <w:sz w:val="36"/>
                                <w:szCs w:val="36"/>
                              </w:rPr>
                            </w:pPr>
                          </w:p>
                        </w:tc>
                      </w:tr>
                      <w:tr w:rsidR="00FE47E0">
                        <w:trPr>
                          <w:trHeight w:val="2980"/>
                        </w:trPr>
                        <w:tc>
                          <w:tcPr>
                            <w:tcW w:w="235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５ 医療費適正化事業</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・医療費通知の発送</w:t>
                            </w:r>
                          </w:p>
                          <w:p w:rsidR="00FE47E0"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・ジェネリック医薬品利用差額通知の発送</w:t>
                            </w:r>
                          </w:p>
                          <w:p w:rsidR="00FE47E0"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・頻回受診・重複服薬者への個別指導</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ジェネリック医薬品数量シェア80％</w:t>
                            </w:r>
                          </w:p>
                        </w:tc>
                        <w:tc>
                          <w:tcPr>
                            <w:tcW w:w="2020"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達成</w:t>
                            </w:r>
                          </w:p>
                          <w:p w:rsidR="00FE47E0" w:rsidRDefault="00FE47E0">
                            <w:pPr>
                              <w:widowControl/>
                              <w:jc w:val="center"/>
                              <w:rPr>
                                <w:rFonts w:ascii="HG丸ｺﾞｼｯｸM-PRO" w:eastAsia="HG丸ｺﾞｼｯｸM-PRO" w:hAnsi="HG丸ｺﾞｼｯｸM-PRO" w:cs="Arial"/>
                                <w:kern w:val="0"/>
                                <w:sz w:val="24"/>
                                <w:szCs w:val="36"/>
                              </w:rPr>
                            </w:pPr>
                            <w:r>
                              <w:rPr>
                                <w:rFonts w:ascii="HG丸ｺﾞｼｯｸM-PRO" w:eastAsia="HG丸ｺﾞｼｯｸM-PRO" w:hAnsi="HG丸ｺﾞｼｯｸM-PRO" w:cs="Arial" w:hint="eastAsia"/>
                                <w:kern w:val="0"/>
                                <w:sz w:val="24"/>
                                <w:szCs w:val="36"/>
                              </w:rPr>
                              <w:t>81.2％</w:t>
                            </w:r>
                          </w:p>
                        </w:tc>
                      </w:tr>
                    </w:tbl>
                    <w:p w:rsidR="00FE47E0" w:rsidRDefault="00FE47E0">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 xml:space="preserve">※評価指標・目標は令和元年度の数値　　　　　　　　　　　　　　　　　　　　　　　　　　　　　　　　　　　　　　　　　　　　　　　　　　　　　　　　　　　　　　　　　　　　　　　　　　</w:t>
                      </w: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p w:rsidR="00FE47E0" w:rsidRDefault="00FE47E0">
                      <w:pPr>
                        <w:ind w:firstLineChars="700" w:firstLine="1470"/>
                        <w:rPr>
                          <w:rFonts w:ascii="HG丸ｺﾞｼｯｸM-PRO" w:eastAsia="HG丸ｺﾞｼｯｸM-PRO" w:hAnsi="HG丸ｺﾞｼｯｸM-PRO"/>
                        </w:rPr>
                      </w:pPr>
                    </w:p>
                  </w:txbxContent>
                </v:textbox>
                <w10:wrap anchorx="margin"/>
              </v:rect>
            </w:pict>
          </mc:Fallback>
        </mc:AlternateContent>
      </w:r>
      <w:r>
        <w:rPr>
          <w:noProof/>
          <w:sz w:val="22"/>
        </w:rPr>
        <mc:AlternateContent>
          <mc:Choice Requires="wps">
            <w:drawing>
              <wp:anchor distT="0" distB="0" distL="114300" distR="114300" simplePos="0" relativeHeight="251688960" behindDoc="0" locked="0" layoutInCell="1" allowOverlap="1">
                <wp:simplePos x="0" y="0"/>
                <wp:positionH relativeFrom="margin">
                  <wp:posOffset>170047</wp:posOffset>
                </wp:positionH>
                <wp:positionV relativeFrom="paragraph">
                  <wp:posOffset>5958324</wp:posOffset>
                </wp:positionV>
                <wp:extent cx="3411855" cy="307340"/>
                <wp:effectExtent l="0" t="0" r="0" b="0"/>
                <wp:wrapNone/>
                <wp:docPr id="10" name="テキスト ボックス 9">
                  <a:extLst xmlns:a="http://schemas.openxmlformats.org/drawingml/2006/main">
                    <a:ext uri="{FF2B5EF4-FFF2-40B4-BE49-F238E27FC236}">
                      <a16:creationId xmlns:a16="http://schemas.microsoft.com/office/drawing/2014/main" id="{B85C2598-997B-4F15-8AED-A4C9E990FF60}"/>
                    </a:ext>
                  </a:extLst>
                </wp:docPr>
                <wp:cNvGraphicFramePr/>
                <a:graphic xmlns:a="http://schemas.openxmlformats.org/drawingml/2006/main">
                  <a:graphicData uri="http://schemas.microsoft.com/office/word/2010/wordprocessingShape">
                    <wps:wsp>
                      <wps:cNvSpPr txBox="1"/>
                      <wps:spPr>
                        <a:xfrm>
                          <a:off x="0" y="0"/>
                          <a:ext cx="3411855" cy="307340"/>
                        </a:xfrm>
                        <a:prstGeom prst="rect">
                          <a:avLst/>
                        </a:prstGeom>
                        <a:noFill/>
                      </wps:spPr>
                      <wps:txbx>
                        <w:txbxContent>
                          <w:p w:rsidR="00FE47E0" w:rsidRDefault="00FE47E0">
                            <w:pPr>
                              <w:pStyle w:val="Web"/>
                              <w:spacing w:before="0" w:beforeAutospacing="0" w:after="0" w:afterAutospacing="0"/>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３　健康課題の把握</w:t>
                            </w:r>
                          </w:p>
                        </w:txbxContent>
                      </wps:txbx>
                      <wps:bodyPr wrap="square" rtlCol="0">
                        <a:spAutoFit/>
                      </wps:bodyPr>
                    </wps:wsp>
                  </a:graphicData>
                </a:graphic>
                <wp14:sizeRelH relativeFrom="margin">
                  <wp14:pctWidth>0</wp14:pctWidth>
                </wp14:sizeRelH>
              </wp:anchor>
            </w:drawing>
          </mc:Choice>
          <mc:Fallback>
            <w:pict>
              <v:shape id="テキスト ボックス 9" o:spid="_x0000_s1031" type="#_x0000_t202" style="position:absolute;margin-left:13.4pt;margin-top:469.15pt;width:268.65pt;height:24.2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" filled="f" stroked="f">
                <v:textbox style="mso-fit-shape-to-text:t">
                  <w:txbxContent>
                    <w:p w:rsidR="00FE47E0" w:rsidRDefault="00FE47E0">
                      <w:pPr>
                        <w:pStyle w:val="Web"/>
                        <w:spacing w:before="0" w:beforeAutospacing="0" w:after="0" w:afterAutospacing="0"/>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３　健康課題の把握</w:t>
                      </w:r>
                    </w:p>
                  </w:txbxContent>
                </v:textbox>
                <w10:wrap anchorx="margin"/>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1008" behindDoc="0" locked="0" layoutInCell="1" allowOverlap="1">
                <wp:simplePos x="0" y="0"/>
                <wp:positionH relativeFrom="margin">
                  <wp:posOffset>244475</wp:posOffset>
                </wp:positionH>
                <wp:positionV relativeFrom="paragraph">
                  <wp:posOffset>6395720</wp:posOffset>
                </wp:positionV>
                <wp:extent cx="5657850" cy="3095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3095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・男性、女性ともに平均</w:t>
                            </w:r>
                            <w:r>
                              <w:rPr>
                                <w:rFonts w:ascii="HG丸ｺﾞｼｯｸM-PRO" w:eastAsia="HG丸ｺﾞｼｯｸM-PRO" w:hAnsi="HG丸ｺﾞｼｯｸM-PRO"/>
                                <w:sz w:val="24"/>
                                <w:szCs w:val="24"/>
                              </w:rPr>
                              <w:t>寿命</w:t>
                            </w:r>
                            <w:r>
                              <w:rPr>
                                <w:rFonts w:ascii="HG丸ｺﾞｼｯｸM-PRO" w:eastAsia="HG丸ｺﾞｼｯｸM-PRO" w:hAnsi="HG丸ｺﾞｼｯｸM-PRO" w:hint="eastAsia"/>
                                <w:sz w:val="24"/>
                                <w:szCs w:val="24"/>
                              </w:rPr>
                              <w:t>が延伸。</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（男性81.03歳から81.72歳　女性86.85歳から86.98歳）</w:t>
                            </w:r>
                          </w:p>
                          <w:p w:rsidR="00FE47E0" w:rsidRDefault="00FE47E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・女性の悪性新生物の標準化死亡比が増加。</w:t>
                            </w:r>
                            <w:r>
                              <w:rPr>
                                <w:rFonts w:ascii="HG丸ｺﾞｼｯｸM-PRO" w:eastAsia="HG丸ｺﾞｼｯｸM-PRO" w:hAnsi="HG丸ｺﾞｼｯｸM-PRO" w:hint="eastAsia"/>
                                <w:sz w:val="22"/>
                                <w:szCs w:val="24"/>
                              </w:rPr>
                              <w:t>（92.7から101.8</w:t>
                            </w:r>
                            <w:r w:rsidR="002E4E19">
                              <w:rPr>
                                <w:rFonts w:ascii="HG丸ｺﾞｼｯｸM-PRO" w:eastAsia="HG丸ｺﾞｼｯｸM-PRO" w:hAnsi="HG丸ｺﾞｼｯｸM-PRO" w:hint="eastAsia"/>
                                <w:sz w:val="22"/>
                                <w:szCs w:val="24"/>
                              </w:rPr>
                              <w:t xml:space="preserve">　※全国:100</w:t>
                            </w:r>
                            <w:r>
                              <w:rPr>
                                <w:rFonts w:ascii="HG丸ｺﾞｼｯｸM-PRO" w:eastAsia="HG丸ｺﾞｼｯｸM-PRO" w:hAnsi="HG丸ｺﾞｼｯｸM-PRO" w:hint="eastAsia"/>
                                <w:sz w:val="22"/>
                                <w:szCs w:val="24"/>
                              </w:rPr>
                              <w:t>）</w:t>
                            </w:r>
                          </w:p>
                          <w:p w:rsidR="00FE47E0" w:rsidRDefault="00FE47E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・女性の心筋梗塞の標準化死亡比が増加。</w:t>
                            </w:r>
                            <w:r>
                              <w:rPr>
                                <w:rFonts w:ascii="HG丸ｺﾞｼｯｸM-PRO" w:eastAsia="HG丸ｺﾞｼｯｸM-PRO" w:hAnsi="HG丸ｺﾞｼｯｸM-PRO" w:hint="eastAsia"/>
                                <w:sz w:val="22"/>
                                <w:szCs w:val="24"/>
                              </w:rPr>
                              <w:t>（109.3から135.6</w:t>
                            </w:r>
                            <w:r w:rsidR="002E4E19">
                              <w:rPr>
                                <w:rFonts w:ascii="HG丸ｺﾞｼｯｸM-PRO" w:eastAsia="HG丸ｺﾞｼｯｸM-PRO" w:hAnsi="HG丸ｺﾞｼｯｸM-PRO" w:hint="eastAsia"/>
                                <w:sz w:val="22"/>
                                <w:szCs w:val="24"/>
                              </w:rPr>
                              <w:t xml:space="preserve">　※全国:</w:t>
                            </w:r>
                            <w:r w:rsidR="002E4E19">
                              <w:rPr>
                                <w:rFonts w:ascii="HG丸ｺﾞｼｯｸM-PRO" w:eastAsia="HG丸ｺﾞｼｯｸM-PRO" w:hAnsi="HG丸ｺﾞｼｯｸM-PRO"/>
                                <w:sz w:val="22"/>
                                <w:szCs w:val="24"/>
                              </w:rPr>
                              <w:t>100</w:t>
                            </w:r>
                            <w:r>
                              <w:rPr>
                                <w:rFonts w:ascii="HG丸ｺﾞｼｯｸM-PRO" w:eastAsia="HG丸ｺﾞｼｯｸM-PRO" w:hAnsi="HG丸ｺﾞｼｯｸM-PRO" w:hint="eastAsia"/>
                                <w:sz w:val="22"/>
                                <w:szCs w:val="24"/>
                              </w:rPr>
                              <w:t>）</w:t>
                            </w:r>
                          </w:p>
                          <w:p w:rsidR="00FE47E0" w:rsidRDefault="00FE47E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・心筋梗塞の１人当たりの医療費が増加。（1,</w:t>
                            </w:r>
                            <w:r>
                              <w:rPr>
                                <w:rFonts w:ascii="HG丸ｺﾞｼｯｸM-PRO" w:eastAsia="HG丸ｺﾞｼｯｸM-PRO" w:hAnsi="HG丸ｺﾞｼｯｸM-PRO"/>
                                <w:sz w:val="24"/>
                                <w:szCs w:val="24"/>
                              </w:rPr>
                              <w:t>163</w:t>
                            </w:r>
                            <w:r>
                              <w:rPr>
                                <w:rFonts w:ascii="HG丸ｺﾞｼｯｸM-PRO" w:eastAsia="HG丸ｺﾞｼｯｸM-PRO" w:hAnsi="HG丸ｺﾞｼｯｸM-PRO" w:hint="eastAsia"/>
                                <w:sz w:val="24"/>
                                <w:szCs w:val="24"/>
                              </w:rPr>
                              <w:t>円から1,</w:t>
                            </w:r>
                            <w:r>
                              <w:rPr>
                                <w:rFonts w:ascii="HG丸ｺﾞｼｯｸM-PRO" w:eastAsia="HG丸ｺﾞｼｯｸM-PRO" w:hAnsi="HG丸ｺﾞｼｯｸM-PRO"/>
                                <w:sz w:val="24"/>
                                <w:szCs w:val="24"/>
                              </w:rPr>
                              <w:t>667円</w:t>
                            </w:r>
                            <w:r>
                              <w:rPr>
                                <w:rFonts w:ascii="HG丸ｺﾞｼｯｸM-PRO" w:eastAsia="HG丸ｺﾞｼｯｸM-PRO" w:hAnsi="HG丸ｺﾞｼｯｸM-PRO" w:hint="eastAsia"/>
                                <w:sz w:val="24"/>
                                <w:szCs w:val="24"/>
                              </w:rPr>
                              <w:t>）</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・人工透析の患者数が増加。</w:t>
                            </w:r>
                            <w:r>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6</w:t>
                            </w:r>
                            <w:r>
                              <w:rPr>
                                <w:rFonts w:ascii="HG丸ｺﾞｼｯｸM-PRO" w:eastAsia="HG丸ｺﾞｼｯｸM-PRO" w:hAnsi="HG丸ｺﾞｼｯｸM-PRO" w:hint="eastAsia"/>
                                <w:sz w:val="22"/>
                                <w:szCs w:val="24"/>
                              </w:rPr>
                              <w:t>３人から</w:t>
                            </w:r>
                            <w:r>
                              <w:rPr>
                                <w:rFonts w:ascii="HG丸ｺﾞｼｯｸM-PRO" w:eastAsia="HG丸ｺﾞｼｯｸM-PRO" w:hAnsi="HG丸ｺﾞｼｯｸM-PRO"/>
                                <w:sz w:val="22"/>
                                <w:szCs w:val="24"/>
                              </w:rPr>
                              <w:t>78</w:t>
                            </w:r>
                            <w:r>
                              <w:rPr>
                                <w:rFonts w:ascii="HG丸ｺﾞｼｯｸM-PRO" w:eastAsia="HG丸ｺﾞｼｯｸM-PRO" w:hAnsi="HG丸ｺﾞｼｯｸM-PRO" w:hint="eastAsia"/>
                                <w:sz w:val="22"/>
                                <w:szCs w:val="24"/>
                              </w:rPr>
                              <w:t>人）</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・特定健康診査受診率、特定保健指導実施率が上昇。</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（受診率38.8％から44.1％　実施率13.6％から17.0％）</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・内臓脂肪症候群の割合が増加、内臓脂肪症候群予備群の割合が減少。</w:t>
                            </w:r>
                            <w:bookmarkStart w:id="0" w:name="_GoBack"/>
                            <w:bookmarkEnd w:id="0"/>
                          </w:p>
                          <w:p w:rsidR="00FE47E0" w:rsidRDefault="00FE47E0">
                            <w:pPr>
                              <w:ind w:firstLineChars="100" w:firstLine="2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szCs w:val="24"/>
                              </w:rPr>
                              <w:t xml:space="preserve">内臓脂肪症候群15.2％から17.1％　</w:t>
                            </w:r>
                          </w:p>
                          <w:p w:rsidR="00FE47E0" w:rsidRDefault="00FE47E0">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内臓脂肪症候群予備群　12.0％から11.9％）</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・男性のＬＤＬコレステロール有所見者の状況が減少。</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（114.4から111.7</w:t>
                            </w:r>
                            <w:r w:rsidR="00215F0E">
                              <w:rPr>
                                <w:rFonts w:ascii="HG丸ｺﾞｼｯｸM-PRO" w:eastAsia="HG丸ｺﾞｼｯｸM-PRO" w:hAnsi="HG丸ｺﾞｼｯｸM-PRO" w:hint="eastAsia"/>
                                <w:sz w:val="22"/>
                                <w:szCs w:val="24"/>
                              </w:rPr>
                              <w:t xml:space="preserve">　</w:t>
                            </w:r>
                            <w:r w:rsidR="00215F0E" w:rsidRPr="00215F0E">
                              <w:rPr>
                                <w:rFonts w:ascii="HG丸ｺﾞｼｯｸM-PRO" w:eastAsia="HG丸ｺﾞｼｯｸM-PRO" w:hAnsi="HG丸ｺﾞｼｯｸM-PRO" w:hint="eastAsia"/>
                                <w:sz w:val="22"/>
                                <w:szCs w:val="24"/>
                              </w:rPr>
                              <w:t>※全国</w:t>
                            </w:r>
                            <w:r w:rsidR="00215F0E" w:rsidRPr="00215F0E">
                              <w:rPr>
                                <w:rFonts w:ascii="HG丸ｺﾞｼｯｸM-PRO" w:eastAsia="HG丸ｺﾞｼｯｸM-PRO" w:hAnsi="HG丸ｺﾞｼｯｸM-PRO"/>
                                <w:sz w:val="22"/>
                                <w:szCs w:val="24"/>
                              </w:rPr>
                              <w:t>100</w:t>
                            </w:r>
                            <w:r>
                              <w:rPr>
                                <w:rFonts w:ascii="HG丸ｺﾞｼｯｸM-PRO" w:eastAsia="HG丸ｺﾞｼｯｸM-PRO" w:hAnsi="HG丸ｺﾞｼｯｸM-PRO" w:hint="eastAsia"/>
                                <w:sz w:val="22"/>
                                <w:szCs w:val="24"/>
                              </w:rPr>
                              <w:t>）</w:t>
                            </w: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margin-left:19.25pt;margin-top:503.6pt;width:445.5pt;height:24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" fillcolor="window" strokecolor="windowText" strokeweight="1pt">
                <v:textbox>
                  <w:txbxContent>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・男性、女性ともに平均</w:t>
                      </w:r>
                      <w:r>
                        <w:rPr>
                          <w:rFonts w:ascii="HG丸ｺﾞｼｯｸM-PRO" w:eastAsia="HG丸ｺﾞｼｯｸM-PRO" w:hAnsi="HG丸ｺﾞｼｯｸM-PRO"/>
                          <w:sz w:val="24"/>
                          <w:szCs w:val="24"/>
                        </w:rPr>
                        <w:t>寿命</w:t>
                      </w:r>
                      <w:r>
                        <w:rPr>
                          <w:rFonts w:ascii="HG丸ｺﾞｼｯｸM-PRO" w:eastAsia="HG丸ｺﾞｼｯｸM-PRO" w:hAnsi="HG丸ｺﾞｼｯｸM-PRO" w:hint="eastAsia"/>
                          <w:sz w:val="24"/>
                          <w:szCs w:val="24"/>
                        </w:rPr>
                        <w:t>が延伸。</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（男性81.03歳から81.72歳　女性86.85歳から86.98歳）</w:t>
                      </w:r>
                    </w:p>
                    <w:p w:rsidR="00FE47E0" w:rsidRDefault="00FE47E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・女性の悪性新生物の標準化死亡比が増加。</w:t>
                      </w:r>
                      <w:r>
                        <w:rPr>
                          <w:rFonts w:ascii="HG丸ｺﾞｼｯｸM-PRO" w:eastAsia="HG丸ｺﾞｼｯｸM-PRO" w:hAnsi="HG丸ｺﾞｼｯｸM-PRO" w:hint="eastAsia"/>
                          <w:sz w:val="22"/>
                          <w:szCs w:val="24"/>
                        </w:rPr>
                        <w:t>（92.7から101.8</w:t>
                      </w:r>
                      <w:r w:rsidR="002E4E19">
                        <w:rPr>
                          <w:rFonts w:ascii="HG丸ｺﾞｼｯｸM-PRO" w:eastAsia="HG丸ｺﾞｼｯｸM-PRO" w:hAnsi="HG丸ｺﾞｼｯｸM-PRO" w:hint="eastAsia"/>
                          <w:sz w:val="22"/>
                          <w:szCs w:val="24"/>
                        </w:rPr>
                        <w:t xml:space="preserve">　※全国:100</w:t>
                      </w:r>
                      <w:r>
                        <w:rPr>
                          <w:rFonts w:ascii="HG丸ｺﾞｼｯｸM-PRO" w:eastAsia="HG丸ｺﾞｼｯｸM-PRO" w:hAnsi="HG丸ｺﾞｼｯｸM-PRO" w:hint="eastAsia"/>
                          <w:sz w:val="22"/>
                          <w:szCs w:val="24"/>
                        </w:rPr>
                        <w:t>）</w:t>
                      </w:r>
                    </w:p>
                    <w:p w:rsidR="00FE47E0" w:rsidRDefault="00FE47E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・女性の心筋梗塞の標準化死亡比が増加。</w:t>
                      </w:r>
                      <w:r>
                        <w:rPr>
                          <w:rFonts w:ascii="HG丸ｺﾞｼｯｸM-PRO" w:eastAsia="HG丸ｺﾞｼｯｸM-PRO" w:hAnsi="HG丸ｺﾞｼｯｸM-PRO" w:hint="eastAsia"/>
                          <w:sz w:val="22"/>
                          <w:szCs w:val="24"/>
                        </w:rPr>
                        <w:t>（109.3から135.6</w:t>
                      </w:r>
                      <w:r w:rsidR="002E4E19">
                        <w:rPr>
                          <w:rFonts w:ascii="HG丸ｺﾞｼｯｸM-PRO" w:eastAsia="HG丸ｺﾞｼｯｸM-PRO" w:hAnsi="HG丸ｺﾞｼｯｸM-PRO" w:hint="eastAsia"/>
                          <w:sz w:val="22"/>
                          <w:szCs w:val="24"/>
                        </w:rPr>
                        <w:t xml:space="preserve">　※全国:</w:t>
                      </w:r>
                      <w:r w:rsidR="002E4E19">
                        <w:rPr>
                          <w:rFonts w:ascii="HG丸ｺﾞｼｯｸM-PRO" w:eastAsia="HG丸ｺﾞｼｯｸM-PRO" w:hAnsi="HG丸ｺﾞｼｯｸM-PRO"/>
                          <w:sz w:val="22"/>
                          <w:szCs w:val="24"/>
                        </w:rPr>
                        <w:t>100</w:t>
                      </w:r>
                      <w:r>
                        <w:rPr>
                          <w:rFonts w:ascii="HG丸ｺﾞｼｯｸM-PRO" w:eastAsia="HG丸ｺﾞｼｯｸM-PRO" w:hAnsi="HG丸ｺﾞｼｯｸM-PRO" w:hint="eastAsia"/>
                          <w:sz w:val="22"/>
                          <w:szCs w:val="24"/>
                        </w:rPr>
                        <w:t>）</w:t>
                      </w:r>
                    </w:p>
                    <w:p w:rsidR="00FE47E0" w:rsidRDefault="00FE47E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・心筋梗塞の１人当たりの医療費が増加。（1,</w:t>
                      </w:r>
                      <w:r>
                        <w:rPr>
                          <w:rFonts w:ascii="HG丸ｺﾞｼｯｸM-PRO" w:eastAsia="HG丸ｺﾞｼｯｸM-PRO" w:hAnsi="HG丸ｺﾞｼｯｸM-PRO"/>
                          <w:sz w:val="24"/>
                          <w:szCs w:val="24"/>
                        </w:rPr>
                        <w:t>163</w:t>
                      </w:r>
                      <w:r>
                        <w:rPr>
                          <w:rFonts w:ascii="HG丸ｺﾞｼｯｸM-PRO" w:eastAsia="HG丸ｺﾞｼｯｸM-PRO" w:hAnsi="HG丸ｺﾞｼｯｸM-PRO" w:hint="eastAsia"/>
                          <w:sz w:val="24"/>
                          <w:szCs w:val="24"/>
                        </w:rPr>
                        <w:t>円から1,</w:t>
                      </w:r>
                      <w:r>
                        <w:rPr>
                          <w:rFonts w:ascii="HG丸ｺﾞｼｯｸM-PRO" w:eastAsia="HG丸ｺﾞｼｯｸM-PRO" w:hAnsi="HG丸ｺﾞｼｯｸM-PRO"/>
                          <w:sz w:val="24"/>
                          <w:szCs w:val="24"/>
                        </w:rPr>
                        <w:t>667円</w:t>
                      </w:r>
                      <w:r>
                        <w:rPr>
                          <w:rFonts w:ascii="HG丸ｺﾞｼｯｸM-PRO" w:eastAsia="HG丸ｺﾞｼｯｸM-PRO" w:hAnsi="HG丸ｺﾞｼｯｸM-PRO" w:hint="eastAsia"/>
                          <w:sz w:val="24"/>
                          <w:szCs w:val="24"/>
                        </w:rPr>
                        <w:t>）</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・人工透析の患者数が増加。</w:t>
                      </w:r>
                      <w:r>
                        <w:rPr>
                          <w:rFonts w:ascii="HG丸ｺﾞｼｯｸM-PRO" w:eastAsia="HG丸ｺﾞｼｯｸM-PRO" w:hAnsi="HG丸ｺﾞｼｯｸM-PRO" w:hint="eastAsia"/>
                          <w:sz w:val="22"/>
                          <w:szCs w:val="24"/>
                        </w:rPr>
                        <w:t>（</w:t>
                      </w:r>
                      <w:r>
                        <w:rPr>
                          <w:rFonts w:ascii="HG丸ｺﾞｼｯｸM-PRO" w:eastAsia="HG丸ｺﾞｼｯｸM-PRO" w:hAnsi="HG丸ｺﾞｼｯｸM-PRO"/>
                          <w:sz w:val="22"/>
                          <w:szCs w:val="24"/>
                        </w:rPr>
                        <w:t>6</w:t>
                      </w:r>
                      <w:r>
                        <w:rPr>
                          <w:rFonts w:ascii="HG丸ｺﾞｼｯｸM-PRO" w:eastAsia="HG丸ｺﾞｼｯｸM-PRO" w:hAnsi="HG丸ｺﾞｼｯｸM-PRO" w:hint="eastAsia"/>
                          <w:sz w:val="22"/>
                          <w:szCs w:val="24"/>
                        </w:rPr>
                        <w:t>３人から</w:t>
                      </w:r>
                      <w:r>
                        <w:rPr>
                          <w:rFonts w:ascii="HG丸ｺﾞｼｯｸM-PRO" w:eastAsia="HG丸ｺﾞｼｯｸM-PRO" w:hAnsi="HG丸ｺﾞｼｯｸM-PRO"/>
                          <w:sz w:val="22"/>
                          <w:szCs w:val="24"/>
                        </w:rPr>
                        <w:t>78</w:t>
                      </w:r>
                      <w:r>
                        <w:rPr>
                          <w:rFonts w:ascii="HG丸ｺﾞｼｯｸM-PRO" w:eastAsia="HG丸ｺﾞｼｯｸM-PRO" w:hAnsi="HG丸ｺﾞｼｯｸM-PRO" w:hint="eastAsia"/>
                          <w:sz w:val="22"/>
                          <w:szCs w:val="24"/>
                        </w:rPr>
                        <w:t>人）</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・特定健康診査受診率、特定保健指導実施率が上昇。</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（受診率38.8％から44.1％　実施率13.6％から17.0％）</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・内臓脂肪症候群の割合が増加、内臓脂肪症候群予備群の割合が減少。</w:t>
                      </w:r>
                      <w:bookmarkStart w:id="1" w:name="_GoBack"/>
                      <w:bookmarkEnd w:id="1"/>
                    </w:p>
                    <w:p w:rsidR="00FE47E0" w:rsidRDefault="00FE47E0">
                      <w:pPr>
                        <w:ind w:firstLineChars="100" w:firstLine="2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szCs w:val="24"/>
                        </w:rPr>
                        <w:t xml:space="preserve">内臓脂肪症候群15.2％から17.1％　</w:t>
                      </w:r>
                    </w:p>
                    <w:p w:rsidR="00FE47E0" w:rsidRDefault="00FE47E0">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内臓脂肪症候群予備群　12.0％から11.9％）</w:t>
                      </w:r>
                    </w:p>
                    <w:p w:rsidR="00FE47E0" w:rsidRDefault="00FE47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・男性のＬＤＬコレステロール有所見者の状況が減少。</w:t>
                      </w:r>
                    </w:p>
                    <w:p w:rsidR="00FE47E0" w:rsidRDefault="00FE47E0">
                      <w:pPr>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（114.4から111.7</w:t>
                      </w:r>
                      <w:r w:rsidR="00215F0E">
                        <w:rPr>
                          <w:rFonts w:ascii="HG丸ｺﾞｼｯｸM-PRO" w:eastAsia="HG丸ｺﾞｼｯｸM-PRO" w:hAnsi="HG丸ｺﾞｼｯｸM-PRO" w:hint="eastAsia"/>
                          <w:sz w:val="22"/>
                          <w:szCs w:val="24"/>
                        </w:rPr>
                        <w:t xml:space="preserve">　</w:t>
                      </w:r>
                      <w:r w:rsidR="00215F0E" w:rsidRPr="00215F0E">
                        <w:rPr>
                          <w:rFonts w:ascii="HG丸ｺﾞｼｯｸM-PRO" w:eastAsia="HG丸ｺﾞｼｯｸM-PRO" w:hAnsi="HG丸ｺﾞｼｯｸM-PRO" w:hint="eastAsia"/>
                          <w:sz w:val="22"/>
                          <w:szCs w:val="24"/>
                        </w:rPr>
                        <w:t>※全国</w:t>
                      </w:r>
                      <w:r w:rsidR="00215F0E" w:rsidRPr="00215F0E">
                        <w:rPr>
                          <w:rFonts w:ascii="HG丸ｺﾞｼｯｸM-PRO" w:eastAsia="HG丸ｺﾞｼｯｸM-PRO" w:hAnsi="HG丸ｺﾞｼｯｸM-PRO"/>
                          <w:sz w:val="22"/>
                          <w:szCs w:val="24"/>
                        </w:rPr>
                        <w:t>100</w:t>
                      </w:r>
                      <w:r>
                        <w:rPr>
                          <w:rFonts w:ascii="HG丸ｺﾞｼｯｸM-PRO" w:eastAsia="HG丸ｺﾞｼｯｸM-PRO" w:hAnsi="HG丸ｺﾞｼｯｸM-PRO" w:hint="eastAsia"/>
                          <w:sz w:val="22"/>
                          <w:szCs w:val="24"/>
                        </w:rPr>
                        <w:t>）</w:t>
                      </w: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p w:rsidR="00FE47E0" w:rsidRDefault="00FE47E0">
                      <w:pPr>
                        <w:jc w:val="center"/>
                        <w:rPr>
                          <w:sz w:val="24"/>
                          <w:szCs w:val="24"/>
                        </w:rPr>
                      </w:pPr>
                    </w:p>
                  </w:txbxContent>
                </v:textbox>
                <w10:wrap anchorx="margin"/>
              </v:rect>
            </w:pict>
          </mc:Fallback>
        </mc:AlternateContent>
      </w:r>
      <w:r>
        <w:rPr>
          <w:noProof/>
          <w:sz w:val="22"/>
        </w:rPr>
        <mc:AlternateContent>
          <mc:Choice Requires="wps">
            <w:drawing>
              <wp:anchor distT="0" distB="0" distL="114300" distR="114300" simplePos="0" relativeHeight="251682816" behindDoc="0" locked="0" layoutInCell="1" allowOverlap="1">
                <wp:simplePos x="0" y="0"/>
                <wp:positionH relativeFrom="margin">
                  <wp:posOffset>244475</wp:posOffset>
                </wp:positionH>
                <wp:positionV relativeFrom="paragraph">
                  <wp:posOffset>1337059</wp:posOffset>
                </wp:positionV>
                <wp:extent cx="5676900" cy="2600325"/>
                <wp:effectExtent l="0" t="0" r="19050" b="28575"/>
                <wp:wrapNone/>
                <wp:docPr id="4" name="テキスト ボックス 3">
                  <a:extLst xmlns:a="http://schemas.openxmlformats.org/drawingml/2006/main">
                    <a:ext uri="{FF2B5EF4-FFF2-40B4-BE49-F238E27FC236}">
                      <a16:creationId xmlns:a16="http://schemas.microsoft.com/office/drawing/2014/main" id="{BA58E8F4-287A-4AE6-B3B6-0F6EB33E36B3}"/>
                    </a:ext>
                  </a:extLst>
                </wp:docPr>
                <wp:cNvGraphicFramePr/>
                <a:graphic xmlns:a="http://schemas.openxmlformats.org/drawingml/2006/main">
                  <a:graphicData uri="http://schemas.microsoft.com/office/word/2010/wordprocessingShape">
                    <wps:wsp>
                      <wps:cNvSpPr txBox="1"/>
                      <wps:spPr>
                        <a:xfrm>
                          <a:off x="0" y="0"/>
                          <a:ext cx="5676900" cy="2600325"/>
                        </a:xfrm>
                        <a:prstGeom prst="rect">
                          <a:avLst/>
                        </a:prstGeom>
                        <a:noFill/>
                        <a:ln>
                          <a:solidFill>
                            <a:sysClr val="windowText" lastClr="000000"/>
                          </a:solidFill>
                        </a:ln>
                      </wps:spPr>
                      <wps:txbx>
                        <w:txbxContent>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●国民健康保険保健事業実施計画（データヘルス計画）の概要</w:t>
                            </w:r>
                          </w:p>
                          <w:p w:rsidR="00FE47E0" w:rsidRDefault="00FE47E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 xml:space="preserve">　健康・医療情報を活用し、ＰＤＣＡサイクルに沿った効果的かつ効率的な保健事業の実施を図るための事業の全体計画</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●第３期特定健康診査等実施計画の概要</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 xml:space="preserve">　メタボリックシンドローム（内臓脂肪症候群）に着目した特定健康診査、特定保健指導の実施計画</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●目的</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theme="minorBidi" w:hint="eastAsia"/>
                                <w:color w:val="000000" w:themeColor="text1"/>
                                <w:kern w:val="24"/>
                              </w:rPr>
                              <w:t xml:space="preserve">　被保険者の健康寿命の延伸、メタボリックシンドロームに着目した生活習慣病の発症予防と重症化の抑制及び医療費適正化</w:t>
                            </w:r>
                          </w:p>
                          <w:p w:rsidR="00FE47E0" w:rsidRDefault="00FE47E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●計画期間　平成３０年度～令和５年度</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 xml:space="preserve">　　　　　　（両計画とも相互に連携する必要があるため一体的に策定）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margin-left:19.25pt;margin-top:105.3pt;width:447pt;height:20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" filled="f" strokecolor="windowText">
                <v:textbox>
                  <w:txbxContent>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●国民健康保険保健事業実施計画（データヘルス計画）の概要</w:t>
                      </w:r>
                    </w:p>
                    <w:p w:rsidR="00FE47E0" w:rsidRDefault="00FE47E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 xml:space="preserve">　健康・医療情報を活用し、ＰＤＣＡサイクルに沿った効果的かつ効率的な保健事業の実施を図るための事業の全体計画</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●第３期特定健康診査等実施計画の概要</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 xml:space="preserve">　メタボリックシンドローム（内臓脂肪症候群）に着目した特定健康診査、特定保健指導の実施計画</w:t>
                      </w:r>
                    </w:p>
                    <w:p w:rsidR="00FE47E0" w:rsidRDefault="00FE47E0">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●目的</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cstheme="minorBidi" w:hint="eastAsia"/>
                          <w:color w:val="000000" w:themeColor="text1"/>
                          <w:kern w:val="24"/>
                        </w:rPr>
                        <w:t xml:space="preserve">　被保険者の健康寿命の延伸、メタボリックシンドロームに着目した生活習慣病の発症予防と重症化の抑制及び医療費適正化</w:t>
                      </w:r>
                    </w:p>
                    <w:p w:rsidR="00FE47E0" w:rsidRDefault="00FE47E0">
                      <w:pPr>
                        <w:pStyle w:val="Web"/>
                        <w:spacing w:before="0" w:beforeAutospacing="0" w:after="0" w:afterAutospacing="0"/>
                        <w:rPr>
                          <w:rFonts w:ascii="HG丸ｺﾞｼｯｸM-PRO" w:eastAsia="HG丸ｺﾞｼｯｸM-PRO" w:hAnsi="HG丸ｺﾞｼｯｸM-PRO" w:cstheme="minorBidi"/>
                          <w:color w:val="000000" w:themeColor="text1"/>
                          <w:kern w:val="24"/>
                        </w:rPr>
                      </w:pPr>
                      <w:r>
                        <w:rPr>
                          <w:rFonts w:ascii="HG丸ｺﾞｼｯｸM-PRO" w:eastAsia="HG丸ｺﾞｼｯｸM-PRO" w:hAnsi="HG丸ｺﾞｼｯｸM-PRO" w:cstheme="minorBidi" w:hint="eastAsia"/>
                          <w:color w:val="000000" w:themeColor="text1"/>
                          <w:kern w:val="24"/>
                        </w:rPr>
                        <w:t>●計画期間　平成３０年度～令和５年度</w:t>
                      </w:r>
                    </w:p>
                    <w:p w:rsidR="00FE47E0" w:rsidRDefault="00FE47E0">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 xml:space="preserve">　　　　　　（両計画とも相互に連携する必要があるため一体的に策定）</w:t>
                      </w:r>
                    </w:p>
                  </w:txbxContent>
                </v:textbox>
                <w10:wrap anchorx="margin"/>
              </v:shape>
            </w:pict>
          </mc:Fallback>
        </mc:AlternateContent>
      </w:r>
      <w:r>
        <w:rPr>
          <w:noProof/>
          <w:sz w:val="22"/>
        </w:rPr>
        <mc:AlternateContent>
          <mc:Choice Requires="wps">
            <w:drawing>
              <wp:anchor distT="0" distB="0" distL="114300" distR="114300" simplePos="0" relativeHeight="251680768" behindDoc="0" locked="0" layoutInCell="1" allowOverlap="1">
                <wp:simplePos x="0" y="0"/>
                <wp:positionH relativeFrom="column">
                  <wp:posOffset>168275</wp:posOffset>
                </wp:positionH>
                <wp:positionV relativeFrom="paragraph">
                  <wp:posOffset>765175</wp:posOffset>
                </wp:positionV>
                <wp:extent cx="5752465" cy="307340"/>
                <wp:effectExtent l="0" t="0" r="0" b="0"/>
                <wp:wrapNone/>
                <wp:docPr id="11" name="テキスト ボックス 10">
                  <a:extLst xmlns:a="http://schemas.openxmlformats.org/drawingml/2006/main">
                    <a:ext uri="{FF2B5EF4-FFF2-40B4-BE49-F238E27FC236}">
                      <a16:creationId xmlns:a16="http://schemas.microsoft.com/office/drawing/2014/main" id="{BACEA91D-FCFE-4DE3-9FAC-B765A0CC6B45}"/>
                    </a:ext>
                  </a:extLst>
                </wp:docPr>
                <wp:cNvGraphicFramePr/>
                <a:graphic xmlns:a="http://schemas.openxmlformats.org/drawingml/2006/main">
                  <a:graphicData uri="http://schemas.microsoft.com/office/word/2010/wordprocessingShape">
                    <wps:wsp>
                      <wps:cNvSpPr txBox="1"/>
                      <wps:spPr>
                        <a:xfrm>
                          <a:off x="0" y="0"/>
                          <a:ext cx="5752465" cy="307340"/>
                        </a:xfrm>
                        <a:prstGeom prst="rect">
                          <a:avLst/>
                        </a:prstGeom>
                        <a:noFill/>
                      </wps:spPr>
                      <wps:txbx>
                        <w:txbxContent>
                          <w:p w:rsidR="00FE47E0" w:rsidRDefault="00FE47E0">
                            <w:pPr>
                              <w:pStyle w:val="Web"/>
                              <w:spacing w:before="0" w:beforeAutospacing="0" w:after="0" w:afterAutospacing="0" w:line="400" w:lineRule="exact"/>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１　鶴ヶ島市国民健康保険保健事業実施計画（データヘルス計画）</w:t>
                            </w:r>
                          </w:p>
                          <w:p w:rsidR="00FE47E0" w:rsidRDefault="00FE47E0">
                            <w:pPr>
                              <w:pStyle w:val="Web"/>
                              <w:spacing w:before="0" w:beforeAutospacing="0" w:after="0" w:afterAutospacing="0" w:line="400" w:lineRule="exact"/>
                              <w:ind w:firstLineChars="100" w:firstLine="281"/>
                              <w:rPr>
                                <w:b/>
                              </w:rPr>
                            </w:pPr>
                            <w:r>
                              <w:rPr>
                                <w:rFonts w:ascii="ＭＳ ゴシック" w:eastAsia="ＭＳ ゴシック" w:hAnsi="ＭＳ ゴシック" w:cstheme="minorBidi" w:hint="eastAsia"/>
                                <w:b/>
                                <w:color w:val="000000" w:themeColor="text1"/>
                                <w:kern w:val="24"/>
                                <w:sz w:val="28"/>
                                <w:szCs w:val="28"/>
                              </w:rPr>
                              <w:t>及び第３期鶴ヶ島市特定健康診査等実施計画</w:t>
                            </w:r>
                          </w:p>
                        </w:txbxContent>
                      </wps:txbx>
                      <wps:bodyPr wrap="square" rtlCol="0">
                        <a:spAutoFit/>
                      </wps:bodyPr>
                    </wps:wsp>
                  </a:graphicData>
                </a:graphic>
                <wp14:sizeRelH relativeFrom="margin">
                  <wp14:pctWidth>0</wp14:pctWidth>
                </wp14:sizeRelH>
              </wp:anchor>
            </w:drawing>
          </mc:Choice>
          <mc:Fallback>
            <w:pict>
              <v:shape id="テキスト ボックス 10" o:spid="_x0000_s1034" type="#_x0000_t202" style="position:absolute;margin-left:13.25pt;margin-top:60.25pt;width:452.95pt;height:24.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" filled="f" stroked="f">
                <v:textbox style="mso-fit-shape-to-text:t">
                  <w:txbxContent>
                    <w:p w:rsidR="00FE47E0" w:rsidRDefault="00FE47E0">
                      <w:pPr>
                        <w:pStyle w:val="Web"/>
                        <w:spacing w:before="0" w:beforeAutospacing="0" w:after="0" w:afterAutospacing="0" w:line="400" w:lineRule="exact"/>
                        <w:rPr>
                          <w:rFonts w:ascii="ＭＳ ゴシック" w:eastAsia="ＭＳ ゴシック" w:hAnsi="ＭＳ ゴシック" w:cstheme="minorBidi"/>
                          <w:b/>
                          <w:color w:val="000000" w:themeColor="text1"/>
                          <w:kern w:val="24"/>
                          <w:sz w:val="28"/>
                          <w:szCs w:val="28"/>
                        </w:rPr>
                      </w:pPr>
                      <w:r>
                        <w:rPr>
                          <w:rFonts w:ascii="ＭＳ ゴシック" w:eastAsia="ＭＳ ゴシック" w:hAnsi="ＭＳ ゴシック" w:cstheme="minorBidi" w:hint="eastAsia"/>
                          <w:b/>
                          <w:color w:val="000000" w:themeColor="text1"/>
                          <w:kern w:val="24"/>
                          <w:sz w:val="28"/>
                          <w:szCs w:val="28"/>
                        </w:rPr>
                        <w:t>１　鶴ヶ島市国民健康保険保健事業実施計画（データヘルス計画）</w:t>
                      </w:r>
                    </w:p>
                    <w:p w:rsidR="00FE47E0" w:rsidRDefault="00FE47E0">
                      <w:pPr>
                        <w:pStyle w:val="Web"/>
                        <w:spacing w:before="0" w:beforeAutospacing="0" w:after="0" w:afterAutospacing="0" w:line="400" w:lineRule="exact"/>
                        <w:ind w:firstLineChars="100" w:firstLine="281"/>
                        <w:rPr>
                          <w:b/>
                        </w:rPr>
                      </w:pPr>
                      <w:r>
                        <w:rPr>
                          <w:rFonts w:ascii="ＭＳ ゴシック" w:eastAsia="ＭＳ ゴシック" w:hAnsi="ＭＳ ゴシック" w:cstheme="minorBidi" w:hint="eastAsia"/>
                          <w:b/>
                          <w:color w:val="000000" w:themeColor="text1"/>
                          <w:kern w:val="24"/>
                          <w:sz w:val="28"/>
                          <w:szCs w:val="28"/>
                        </w:rPr>
                        <w:t>及び第３期鶴ヶ島市特定健康診査等実施計画</w:t>
                      </w:r>
                    </w:p>
                  </w:txbxContent>
                </v:textbox>
              </v:shape>
            </w:pict>
          </mc:Fallback>
        </mc:AlternateContent>
      </w:r>
      <w:r>
        <w:rPr>
          <w:rFonts w:ascii="ＭＳ ゴシック" w:eastAsia="ＭＳ ゴシック" w:hAnsi="ＭＳ ゴシック"/>
          <w:sz w:val="24"/>
        </w:rPr>
        <w:br w:type="page"/>
      </w:r>
    </w:p>
    <w:tbl>
      <w:tblPr>
        <w:tblpPr w:leftFromText="113" w:rightFromText="113" w:vertAnchor="text" w:horzAnchor="margin" w:tblpY="571"/>
        <w:tblOverlap w:val="never"/>
        <w:tblW w:w="22100" w:type="dxa"/>
        <w:tblCellMar>
          <w:left w:w="0" w:type="dxa"/>
          <w:right w:w="0" w:type="dxa"/>
        </w:tblCellMar>
        <w:tblLook w:val="0620" w:firstRow="1" w:lastRow="0" w:firstColumn="0" w:lastColumn="0" w:noHBand="1" w:noVBand="1"/>
      </w:tblPr>
      <w:tblGrid>
        <w:gridCol w:w="4385"/>
        <w:gridCol w:w="6520"/>
        <w:gridCol w:w="7796"/>
        <w:gridCol w:w="3399"/>
      </w:tblGrid>
      <w:tr w:rsidR="00C31FA8">
        <w:trPr>
          <w:trHeight w:val="409"/>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center"/>
              <w:rPr>
                <w:rFonts w:ascii="Arial" w:eastAsia="ＭＳ Ｐゴシック" w:hAnsi="Arial" w:cs="Arial"/>
                <w:kern w:val="0"/>
                <w:sz w:val="26"/>
                <w:szCs w:val="26"/>
              </w:rPr>
            </w:pPr>
            <w:r>
              <w:rPr>
                <w:rFonts w:ascii="HG丸ｺﾞｼｯｸM-PRO" w:eastAsia="HG丸ｺﾞｼｯｸM-PRO" w:hAnsi="HG丸ｺﾞｼｯｸM-PRO" w:cs="Arial" w:hint="eastAsia"/>
                <w:color w:val="000000" w:themeColor="text1"/>
                <w:kern w:val="24"/>
                <w:sz w:val="26"/>
                <w:szCs w:val="26"/>
              </w:rPr>
              <w:lastRenderedPageBreak/>
              <w:t>個別事業名</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widowControl/>
              <w:jc w:val="center"/>
              <w:rPr>
                <w:rFonts w:ascii="HG丸ｺﾞｼｯｸM-PRO" w:eastAsia="HG丸ｺﾞｼｯｸM-PRO" w:hAnsi="HG丸ｺﾞｼｯｸM-PRO" w:cs="Arial"/>
                <w:color w:val="000000" w:themeColor="text1"/>
                <w:kern w:val="24"/>
                <w:sz w:val="26"/>
                <w:szCs w:val="26"/>
              </w:rPr>
            </w:pPr>
            <w:r>
              <w:rPr>
                <w:rFonts w:ascii="HG丸ｺﾞｼｯｸM-PRO" w:eastAsia="HG丸ｺﾞｼｯｸM-PRO" w:hAnsi="HG丸ｺﾞｼｯｸM-PRO" w:cs="Arial" w:hint="eastAsia"/>
                <w:color w:val="000000" w:themeColor="text1"/>
                <w:kern w:val="24"/>
                <w:sz w:val="26"/>
                <w:szCs w:val="26"/>
              </w:rPr>
              <w:t>見直し内容</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center"/>
              <w:rPr>
                <w:rFonts w:ascii="Arial" w:eastAsia="ＭＳ Ｐゴシック" w:hAnsi="Arial" w:cs="Arial"/>
                <w:kern w:val="0"/>
                <w:sz w:val="26"/>
                <w:szCs w:val="26"/>
              </w:rPr>
            </w:pPr>
            <w:r>
              <w:rPr>
                <w:rFonts w:ascii="HG丸ｺﾞｼｯｸM-PRO" w:eastAsia="HG丸ｺﾞｼｯｸM-PRO" w:hAnsi="HG丸ｺﾞｼｯｸM-PRO" w:cs="Arial" w:hint="eastAsia"/>
                <w:color w:val="000000" w:themeColor="text1"/>
                <w:kern w:val="24"/>
                <w:sz w:val="26"/>
                <w:szCs w:val="26"/>
              </w:rPr>
              <w:t>今後の取り組み内容</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center"/>
              <w:rPr>
                <w:rFonts w:ascii="Arial" w:eastAsia="ＭＳ Ｐゴシック" w:hAnsi="Arial" w:cs="Arial"/>
                <w:kern w:val="0"/>
                <w:sz w:val="26"/>
                <w:szCs w:val="26"/>
              </w:rPr>
            </w:pPr>
            <w:r>
              <w:rPr>
                <w:rFonts w:ascii="HG丸ｺﾞｼｯｸM-PRO" w:eastAsia="HG丸ｺﾞｼｯｸM-PRO" w:hAnsi="HG丸ｺﾞｼｯｸM-PRO" w:cs="Arial" w:hint="eastAsia"/>
                <w:color w:val="000000" w:themeColor="text1"/>
                <w:kern w:val="24"/>
                <w:sz w:val="26"/>
                <w:szCs w:val="26"/>
              </w:rPr>
              <w:t>最終目標（令和５年度）</w:t>
            </w:r>
          </w:p>
        </w:tc>
      </w:tr>
      <w:tr w:rsidR="00C31FA8">
        <w:trPr>
          <w:trHeight w:val="2506"/>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１　特定健康診査受診率向上対策事業</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ind w:leftChars="50" w:left="105" w:rightChars="50" w:right="105"/>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・対象者の特性に応じ、幅広い対象者へ勧奨を行う。</w:t>
            </w:r>
          </w:p>
          <w:p w:rsidR="00C31FA8" w:rsidRDefault="00C31FA8">
            <w:pPr>
              <w:widowControl/>
              <w:ind w:leftChars="50" w:left="105" w:rightChars="50" w:right="105"/>
              <w:jc w:val="left"/>
              <w:rPr>
                <w:rFonts w:ascii="HG丸ｺﾞｼｯｸM-PRO" w:eastAsia="HG丸ｺﾞｼｯｸM-PRO" w:hAnsi="HG丸ｺﾞｼｯｸM-PRO"/>
                <w:color w:val="000000" w:themeColor="text1"/>
                <w:kern w:val="24"/>
                <w:sz w:val="24"/>
                <w:szCs w:val="24"/>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color w:val="000000" w:themeColor="text1"/>
                <w:kern w:val="0"/>
                <w:sz w:val="36"/>
                <w:szCs w:val="36"/>
              </w:rPr>
            </w:pPr>
            <w:r>
              <w:rPr>
                <w:rFonts w:ascii="HG丸ｺﾞｼｯｸM-PRO" w:eastAsia="HG丸ｺﾞｼｯｸM-PRO" w:hAnsi="HG丸ｺﾞｼｯｸM-PRO" w:hint="eastAsia"/>
                <w:color w:val="000000" w:themeColor="text1"/>
                <w:kern w:val="24"/>
                <w:sz w:val="24"/>
                <w:szCs w:val="24"/>
              </w:rPr>
              <w:t>・人工知能を用いて対象者の性格や受診状況等を分析し、特性に応じて、数パターンの勧奨通知を送付。</w:t>
            </w:r>
          </w:p>
          <w:p w:rsidR="00C31FA8" w:rsidRDefault="00FE47E0">
            <w:pPr>
              <w:widowControl/>
              <w:jc w:val="left"/>
              <w:rPr>
                <w:rFonts w:ascii="HG丸ｺﾞｼｯｸM-PRO" w:eastAsia="HG丸ｺﾞｼｯｸM-PRO" w:hAnsi="HG丸ｺﾞｼｯｸM-PRO"/>
                <w:color w:val="000000" w:themeColor="text1"/>
                <w:kern w:val="24"/>
                <w:sz w:val="24"/>
                <w:szCs w:val="24"/>
              </w:rPr>
            </w:pPr>
            <w:r>
              <w:rPr>
                <w:rFonts w:ascii="HG丸ｺﾞｼｯｸM-PRO" w:eastAsia="HG丸ｺﾞｼｯｸM-PRO" w:hAnsi="HG丸ｺﾞｼｯｸM-PRO" w:hint="eastAsia"/>
                <w:color w:val="000000" w:themeColor="text1"/>
                <w:kern w:val="24"/>
                <w:sz w:val="24"/>
                <w:szCs w:val="24"/>
              </w:rPr>
              <w:t>・継続未受診者の分析を実施。医療（生活習慣病）ありの対象者を</w:t>
            </w:r>
          </w:p>
          <w:p w:rsidR="00C31FA8" w:rsidRDefault="00FE47E0">
            <w:pPr>
              <w:widowControl/>
              <w:jc w:val="left"/>
              <w:rPr>
                <w:rFonts w:ascii="Arial" w:eastAsia="ＭＳ Ｐゴシック" w:hAnsi="Arial" w:cs="Arial"/>
                <w:color w:val="000000" w:themeColor="text1"/>
                <w:kern w:val="0"/>
                <w:sz w:val="36"/>
                <w:szCs w:val="36"/>
              </w:rPr>
            </w:pPr>
            <w:r>
              <w:rPr>
                <w:rFonts w:ascii="HG丸ｺﾞｼｯｸM-PRO" w:eastAsia="HG丸ｺﾞｼｯｸM-PRO" w:hAnsi="HG丸ｺﾞｼｯｸM-PRO" w:hint="eastAsia"/>
                <w:color w:val="000000" w:themeColor="text1"/>
                <w:kern w:val="24"/>
                <w:sz w:val="24"/>
                <w:szCs w:val="24"/>
              </w:rPr>
              <w:t>受診率につなげる方策を検討。</w:t>
            </w:r>
          </w:p>
          <w:p w:rsidR="00C31FA8" w:rsidRDefault="00FE47E0">
            <w:pPr>
              <w:widowControl/>
              <w:jc w:val="left"/>
              <w:rPr>
                <w:rFonts w:ascii="Arial" w:eastAsia="ＭＳ Ｐゴシック" w:hAnsi="Arial" w:cs="Arial"/>
                <w:color w:val="000000" w:themeColor="text1"/>
                <w:kern w:val="0"/>
                <w:sz w:val="36"/>
                <w:szCs w:val="36"/>
              </w:rPr>
            </w:pPr>
            <w:r>
              <w:rPr>
                <w:rFonts w:ascii="HG丸ｺﾞｼｯｸM-PRO" w:eastAsia="HG丸ｺﾞｼｯｸM-PRO" w:hAnsi="HG丸ｺﾞｼｯｸM-PRO" w:hint="eastAsia"/>
                <w:color w:val="000000" w:themeColor="text1"/>
                <w:kern w:val="24"/>
                <w:sz w:val="24"/>
                <w:szCs w:val="24"/>
              </w:rPr>
              <w:t>・人間ドック、職場健診等の結果の収集。</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特定健康診査受診率</w:t>
            </w:r>
          </w:p>
          <w:p w:rsidR="00C31FA8"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６０％</w:t>
            </w:r>
          </w:p>
        </w:tc>
      </w:tr>
      <w:tr w:rsidR="00C31FA8">
        <w:trPr>
          <w:trHeight w:val="1972"/>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２　特定保健指導実施率向上対策事業</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widowControl/>
              <w:ind w:leftChars="50" w:left="105" w:rightChars="50" w:right="105"/>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・特定保健指導委託医療機関等数を増やす。</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・電話、通知による利用勧奨の継続。</w:t>
            </w:r>
          </w:p>
          <w:p w:rsidR="00C31FA8"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・前年度保健指導対象者に健診前に架電等で生活改善のためのアド</w:t>
            </w:r>
          </w:p>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バイスを実施。</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特定保健指導</w:t>
            </w:r>
            <w:r>
              <w:rPr>
                <w:rFonts w:ascii="HG丸ｺﾞｼｯｸM-PRO" w:eastAsia="HG丸ｺﾞｼｯｸM-PRO" w:hAnsi="HG丸ｺﾞｼｯｸM-PRO" w:hint="eastAsia"/>
                <w:color w:val="000000" w:themeColor="text1"/>
                <w:kern w:val="24"/>
                <w:sz w:val="24"/>
                <w:szCs w:val="24"/>
              </w:rPr>
              <w:t>実施率</w:t>
            </w:r>
          </w:p>
          <w:p w:rsidR="00C31FA8"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hint="eastAsia"/>
                <w:color w:val="000000" w:themeColor="text1"/>
                <w:kern w:val="24"/>
                <w:sz w:val="24"/>
                <w:szCs w:val="24"/>
              </w:rPr>
              <w:t>６０％</w:t>
            </w:r>
          </w:p>
        </w:tc>
      </w:tr>
      <w:tr w:rsidR="00C31FA8">
        <w:trPr>
          <w:trHeight w:val="1700"/>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３　生活習慣病重症化予防対策事業</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ind w:leftChars="50" w:left="105" w:rightChars="50" w:right="10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・他市医療機関の相互乗り入れを実施し、対象者を拡大</w:t>
            </w:r>
          </w:p>
          <w:p w:rsidR="00C31FA8" w:rsidRDefault="00FE47E0">
            <w:pPr>
              <w:ind w:leftChars="50" w:left="105" w:rightChars="50" w:right="10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して事業参加者の増加を図る。</w:t>
            </w:r>
          </w:p>
          <w:p w:rsidR="00C31FA8" w:rsidRDefault="00C31FA8">
            <w:pPr>
              <w:widowControl/>
              <w:ind w:leftChars="50" w:left="105" w:rightChars="50" w:right="105"/>
              <w:jc w:val="left"/>
              <w:rPr>
                <w:rFonts w:ascii="HG丸ｺﾞｼｯｸM-PRO" w:eastAsia="HG丸ｺﾞｼｯｸM-PRO" w:hAnsi="HG丸ｺﾞｼｯｸM-PRO" w:cs="Arial"/>
                <w:color w:val="000000" w:themeColor="text1"/>
                <w:kern w:val="24"/>
                <w:sz w:val="24"/>
                <w:szCs w:val="24"/>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・医療機関への事業周知及び主治医からの受診勧奨の実施。</w:t>
            </w:r>
          </w:p>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・事業参加者の継続的な支援の実施。</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ind w:left="1200" w:hangingChars="500" w:hanging="1200"/>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保健指導後の人工透析移行者０人</w:t>
            </w:r>
            <w:r>
              <w:rPr>
                <w:rFonts w:ascii="HG丸ｺﾞｼｯｸM-PRO" w:eastAsia="HG丸ｺﾞｼｯｸM-PRO" w:hAnsi="HG丸ｺﾞｼｯｸM-PRO" w:cs="Arial" w:hint="eastAsia"/>
                <w:color w:val="000000" w:themeColor="text1"/>
                <w:kern w:val="24"/>
                <w:sz w:val="20"/>
                <w:szCs w:val="20"/>
              </w:rPr>
              <w:t xml:space="preserve">　　　　　　　</w:t>
            </w:r>
          </w:p>
        </w:tc>
      </w:tr>
      <w:tr w:rsidR="00C31FA8">
        <w:trPr>
          <w:trHeight w:val="2715"/>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４　循環器疾患、がん予防対策事業</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ind w:leftChars="50" w:left="105" w:rightChars="50" w:right="105"/>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s="Arial" w:hint="eastAsia"/>
                <w:color w:val="000000" w:themeColor="text1"/>
                <w:kern w:val="24"/>
                <w:sz w:val="24"/>
                <w:szCs w:val="24"/>
              </w:rPr>
              <w:t>特定保健指導対象者以外で、服薬の必要性があると考えられる検査値以上の者に受診勧奨を行う。</w:t>
            </w:r>
          </w:p>
          <w:p w:rsidR="00C31FA8" w:rsidRDefault="00FE47E0">
            <w:pPr>
              <w:ind w:leftChars="50" w:left="105" w:rightChars="50" w:right="105"/>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hint="eastAsia"/>
                <w:sz w:val="24"/>
              </w:rPr>
              <w:t>・人間ドック受検者の検査結果を把握し、特定保健指導を実施する。</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tabs>
                <w:tab w:val="left" w:pos="7404"/>
              </w:tabs>
              <w:ind w:rightChars="-52" w:right="-109"/>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・LDLコレステロールに着目した健康教室、健康相談を実施していく。（特定保健指導実施率向上対策事業より移行）</w:t>
            </w:r>
          </w:p>
          <w:p w:rsidR="00C31FA8" w:rsidRDefault="00FE47E0">
            <w:pPr>
              <w:widowControl/>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Arial" w:hint="eastAsia"/>
                <w:color w:val="000000" w:themeColor="text1"/>
                <w:kern w:val="24"/>
                <w:sz w:val="24"/>
                <w:szCs w:val="24"/>
              </w:rPr>
              <w:t>・がん検診の検査内容と必要性を訴求するチラシの作成。</w:t>
            </w:r>
          </w:p>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・がん検診精密検査対象者への受診勧奨通知送付の継続。</w:t>
            </w:r>
          </w:p>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・人間ドックの制度の周知及び受診勧奨。</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HG丸ｺﾞｼｯｸM-PRO" w:eastAsia="HG丸ｺﾞｼｯｸM-PRO" w:hAnsi="HG丸ｺﾞｼｯｸM-PRO"/>
                <w:color w:val="000000" w:themeColor="text1"/>
                <w:kern w:val="24"/>
                <w:sz w:val="24"/>
                <w:szCs w:val="20"/>
              </w:rPr>
            </w:pPr>
            <w:r>
              <w:rPr>
                <w:rFonts w:ascii="HG丸ｺﾞｼｯｸM-PRO" w:eastAsia="HG丸ｺﾞｼｯｸM-PRO" w:hAnsi="HG丸ｺﾞｼｯｸM-PRO" w:hint="eastAsia"/>
                <w:color w:val="000000" w:themeColor="text1"/>
                <w:kern w:val="24"/>
                <w:sz w:val="24"/>
                <w:szCs w:val="20"/>
              </w:rPr>
              <w:t>特定健康診査受診者の中で血中脂質（LDLコレステロール値）が受診勧奨値以上の者の割合</w:t>
            </w:r>
          </w:p>
          <w:p w:rsidR="00C31FA8" w:rsidRDefault="00FE47E0">
            <w:pPr>
              <w:widowControl/>
              <w:jc w:val="center"/>
              <w:rPr>
                <w:rFonts w:ascii="Arial" w:eastAsia="ＭＳ Ｐゴシック" w:hAnsi="Arial" w:cs="Arial"/>
                <w:kern w:val="0"/>
                <w:sz w:val="36"/>
                <w:szCs w:val="36"/>
              </w:rPr>
            </w:pPr>
            <w:r>
              <w:rPr>
                <w:rFonts w:ascii="HG丸ｺﾞｼｯｸM-PRO" w:eastAsia="HG丸ｺﾞｼｯｸM-PRO" w:hAnsi="HG丸ｺﾞｼｯｸM-PRO" w:hint="eastAsia"/>
                <w:color w:val="000000" w:themeColor="text1"/>
                <w:kern w:val="24"/>
                <w:sz w:val="24"/>
                <w:szCs w:val="20"/>
              </w:rPr>
              <w:t>20％未満</w:t>
            </w:r>
          </w:p>
        </w:tc>
      </w:tr>
      <w:tr w:rsidR="00C31FA8">
        <w:trPr>
          <w:trHeight w:val="1872"/>
        </w:trPr>
        <w:tc>
          <w:tcPr>
            <w:tcW w:w="4385"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５　医療費適正化事業</w:t>
            </w:r>
          </w:p>
        </w:tc>
        <w:tc>
          <w:tcPr>
            <w:tcW w:w="6520" w:type="dxa"/>
            <w:tcBorders>
              <w:top w:val="single" w:sz="8" w:space="0" w:color="000000"/>
              <w:left w:val="single" w:sz="8" w:space="0" w:color="000000"/>
              <w:bottom w:val="single" w:sz="8" w:space="0" w:color="000000"/>
              <w:right w:val="single" w:sz="8" w:space="0" w:color="000000"/>
            </w:tcBorders>
          </w:tcPr>
          <w:p w:rsidR="00C31FA8" w:rsidRDefault="00FE47E0">
            <w:pPr>
              <w:widowControl/>
              <w:ind w:leftChars="50" w:left="105" w:rightChars="50" w:right="105"/>
              <w:jc w:val="left"/>
              <w:rPr>
                <w:rFonts w:ascii="HG丸ｺﾞｼｯｸM-PRO" w:eastAsia="HG丸ｺﾞｼｯｸM-PRO" w:hAnsi="HG丸ｺﾞｼｯｸM-PRO" w:cs="Arial"/>
                <w:color w:val="000000" w:themeColor="text1"/>
                <w:kern w:val="24"/>
                <w:sz w:val="24"/>
                <w:szCs w:val="24"/>
              </w:rPr>
            </w:pPr>
            <w:r>
              <w:rPr>
                <w:rFonts w:ascii="HG丸ｺﾞｼｯｸM-PRO" w:eastAsia="HG丸ｺﾞｼｯｸM-PRO" w:hAnsi="HG丸ｺﾞｼｯｸM-PRO" w:cs="Meiryo UI" w:hint="eastAsia"/>
                <w:color w:val="000000" w:themeColor="text1"/>
                <w:sz w:val="24"/>
              </w:rPr>
              <w:t>・</w:t>
            </w:r>
            <w:r>
              <w:rPr>
                <w:rFonts w:ascii="HG丸ｺﾞｼｯｸM-PRO" w:eastAsia="HG丸ｺﾞｼｯｸM-PRO" w:hAnsi="HG丸ｺﾞｼｯｸM-PRO" w:cs="Arial" w:hint="eastAsia"/>
                <w:color w:val="000000" w:themeColor="text1"/>
                <w:kern w:val="24"/>
                <w:sz w:val="24"/>
                <w:szCs w:val="24"/>
              </w:rPr>
              <w:t>埼玉県国民健康保険団体連合会と協働し、重複服薬、多剤投与者対策事業に取り組む。</w:t>
            </w:r>
          </w:p>
          <w:p w:rsidR="00C31FA8" w:rsidRDefault="00C31FA8">
            <w:pPr>
              <w:widowControl/>
              <w:ind w:leftChars="50" w:left="105" w:rightChars="50" w:right="105"/>
              <w:jc w:val="left"/>
              <w:rPr>
                <w:rFonts w:ascii="HG丸ｺﾞｼｯｸM-PRO" w:eastAsia="HG丸ｺﾞｼｯｸM-PRO" w:hAnsi="HG丸ｺﾞｼｯｸM-PRO" w:cs="Arial"/>
                <w:color w:val="000000" w:themeColor="text1"/>
                <w:kern w:val="24"/>
                <w:sz w:val="24"/>
                <w:szCs w:val="24"/>
              </w:rPr>
            </w:pPr>
          </w:p>
          <w:p w:rsidR="00C31FA8" w:rsidRDefault="00C31FA8">
            <w:pPr>
              <w:widowControl/>
              <w:ind w:leftChars="50" w:left="105" w:rightChars="50" w:right="105"/>
              <w:jc w:val="left"/>
              <w:rPr>
                <w:rFonts w:ascii="HG丸ｺﾞｼｯｸM-PRO" w:eastAsia="HG丸ｺﾞｼｯｸM-PRO" w:hAnsi="HG丸ｺﾞｼｯｸM-PRO" w:cs="Arial"/>
                <w:color w:val="000000" w:themeColor="text1"/>
                <w:kern w:val="24"/>
                <w:sz w:val="24"/>
                <w:szCs w:val="24"/>
              </w:rPr>
            </w:pP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・ジェネリック医薬品利用差額通知の対象範囲を拡大し通知。</w:t>
            </w:r>
          </w:p>
          <w:p w:rsidR="00C31FA8" w:rsidRDefault="00FE47E0">
            <w:pPr>
              <w:widowControl/>
              <w:jc w:val="left"/>
              <w:rPr>
                <w:rFonts w:ascii="Arial" w:eastAsia="ＭＳ Ｐゴシック" w:hAnsi="Arial" w:cs="Arial"/>
                <w:kern w:val="0"/>
                <w:sz w:val="36"/>
                <w:szCs w:val="36"/>
              </w:rPr>
            </w:pPr>
            <w:r>
              <w:rPr>
                <w:rFonts w:ascii="HG丸ｺﾞｼｯｸM-PRO" w:eastAsia="HG丸ｺﾞｼｯｸM-PRO" w:hAnsi="HG丸ｺﾞｼｯｸM-PRO" w:cs="Arial" w:hint="eastAsia"/>
                <w:color w:val="000000" w:themeColor="text1"/>
                <w:kern w:val="24"/>
                <w:sz w:val="24"/>
                <w:szCs w:val="24"/>
              </w:rPr>
              <w:t>・埼玉県国民健康保険団体連合会が抽出する資料を活用し、頻回受診、重複服薬者へ周知。</w:t>
            </w:r>
          </w:p>
        </w:tc>
        <w:tc>
          <w:tcPr>
            <w:tcW w:w="3399" w:type="dxa"/>
            <w:tcBorders>
              <w:top w:val="single" w:sz="8" w:space="0" w:color="000000"/>
              <w:left w:val="single" w:sz="8" w:space="0" w:color="000000"/>
              <w:bottom w:val="single" w:sz="8" w:space="0" w:color="000000"/>
              <w:right w:val="single" w:sz="8" w:space="0" w:color="000000"/>
            </w:tcBorders>
            <w:shd w:val="clear" w:color="auto" w:fill="auto"/>
            <w:tcMar>
              <w:top w:w="59" w:type="dxa"/>
              <w:left w:w="117" w:type="dxa"/>
              <w:bottom w:w="59" w:type="dxa"/>
              <w:right w:w="117" w:type="dxa"/>
            </w:tcMar>
            <w:hideMark/>
          </w:tcPr>
          <w:p w:rsidR="00C31FA8" w:rsidRDefault="00FE47E0">
            <w:pPr>
              <w:widowControl/>
              <w:jc w:val="left"/>
              <w:rPr>
                <w:rFonts w:ascii="Arial" w:eastAsia="ＭＳ Ｐゴシック" w:hAnsi="Arial" w:cs="Arial"/>
                <w:kern w:val="0"/>
                <w:sz w:val="48"/>
                <w:szCs w:val="36"/>
              </w:rPr>
            </w:pPr>
            <w:r>
              <w:rPr>
                <w:rFonts w:ascii="HG丸ｺﾞｼｯｸM-PRO" w:eastAsia="HG丸ｺﾞｼｯｸM-PRO" w:hAnsi="HG丸ｺﾞｼｯｸM-PRO" w:hint="eastAsia"/>
                <w:color w:val="000000" w:themeColor="text1"/>
                <w:kern w:val="24"/>
                <w:sz w:val="24"/>
                <w:szCs w:val="20"/>
              </w:rPr>
              <w:t>ジェネリック医薬品の</w:t>
            </w:r>
          </w:p>
          <w:p w:rsidR="00C31FA8" w:rsidRDefault="00FE47E0">
            <w:pPr>
              <w:widowControl/>
              <w:jc w:val="left"/>
              <w:rPr>
                <w:rFonts w:ascii="HG丸ｺﾞｼｯｸM-PRO" w:eastAsia="HG丸ｺﾞｼｯｸM-PRO" w:hAnsi="HG丸ｺﾞｼｯｸM-PRO"/>
                <w:color w:val="000000" w:themeColor="text1"/>
                <w:kern w:val="24"/>
                <w:sz w:val="24"/>
                <w:szCs w:val="20"/>
              </w:rPr>
            </w:pPr>
            <w:r>
              <w:rPr>
                <w:rFonts w:ascii="HG丸ｺﾞｼｯｸM-PRO" w:eastAsia="HG丸ｺﾞｼｯｸM-PRO" w:hAnsi="HG丸ｺﾞｼｯｸM-PRO" w:hint="eastAsia"/>
                <w:color w:val="000000" w:themeColor="text1"/>
                <w:kern w:val="24"/>
                <w:sz w:val="24"/>
                <w:szCs w:val="20"/>
              </w:rPr>
              <w:t xml:space="preserve">数量シェア率　</w:t>
            </w:r>
          </w:p>
          <w:p w:rsidR="00C31FA8" w:rsidRDefault="00FE47E0">
            <w:pPr>
              <w:widowControl/>
              <w:ind w:firstLineChars="400" w:firstLine="960"/>
              <w:jc w:val="left"/>
              <w:rPr>
                <w:rFonts w:ascii="Arial" w:eastAsia="ＭＳ Ｐゴシック" w:hAnsi="Arial" w:cs="Arial"/>
                <w:kern w:val="0"/>
                <w:sz w:val="48"/>
                <w:szCs w:val="36"/>
              </w:rPr>
            </w:pPr>
            <w:r>
              <w:rPr>
                <w:rFonts w:ascii="HG丸ｺﾞｼｯｸM-PRO" w:eastAsia="HG丸ｺﾞｼｯｸM-PRO" w:hAnsi="HG丸ｺﾞｼｯｸM-PRO" w:hint="eastAsia"/>
                <w:color w:val="000000" w:themeColor="text1"/>
                <w:kern w:val="24"/>
                <w:sz w:val="24"/>
                <w:szCs w:val="20"/>
              </w:rPr>
              <w:t>８０％以上</w:t>
            </w:r>
          </w:p>
          <w:p w:rsidR="00C31FA8" w:rsidRDefault="00C31FA8">
            <w:pPr>
              <w:widowControl/>
              <w:jc w:val="left"/>
              <w:rPr>
                <w:rFonts w:ascii="Arial" w:eastAsia="ＭＳ Ｐゴシック" w:hAnsi="Arial" w:cs="Arial"/>
                <w:kern w:val="0"/>
                <w:sz w:val="36"/>
                <w:szCs w:val="36"/>
              </w:rPr>
            </w:pPr>
          </w:p>
        </w:tc>
      </w:tr>
    </w:tbl>
    <w:p w:rsidR="00C31FA8" w:rsidRDefault="00FE47E0">
      <w:pPr>
        <w:rPr>
          <w:rFonts w:ascii="ＭＳ ゴシック" w:eastAsia="ＭＳ ゴシック" w:hAnsi="ＭＳ ゴシック"/>
          <w:sz w:val="24"/>
        </w:rPr>
      </w:pPr>
      <w:r>
        <w:rPr>
          <w:noProof/>
        </w:rPr>
        <mc:AlternateContent>
          <mc:Choice Requires="wps">
            <w:drawing>
              <wp:anchor distT="0" distB="0" distL="114300" distR="114300" simplePos="0" relativeHeight="251700224" behindDoc="0" locked="0" layoutInCell="1" allowOverlap="1">
                <wp:simplePos x="0" y="0"/>
                <wp:positionH relativeFrom="column">
                  <wp:posOffset>47625</wp:posOffset>
                </wp:positionH>
                <wp:positionV relativeFrom="paragraph">
                  <wp:posOffset>8029575</wp:posOffset>
                </wp:positionV>
                <wp:extent cx="4152900" cy="3143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4152900" cy="314325"/>
                        </a:xfrm>
                        <a:prstGeom prst="rect">
                          <a:avLst/>
                        </a:prstGeom>
                        <a:solidFill>
                          <a:sysClr val="window" lastClr="FFFFFF"/>
                        </a:solidFill>
                        <a:ln w="12700" cap="flat" cmpd="sng" algn="ctr">
                          <a:noFill/>
                          <a:prstDash val="solid"/>
                          <a:miter lim="800000"/>
                        </a:ln>
                        <a:effectLst/>
                      </wps:spPr>
                      <wps:txbx>
                        <w:txbxContent>
                          <w:p w:rsidR="00FE47E0" w:rsidRDefault="00FE47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※概要版のため取り組み事業の一部を抜粋しています。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5" style="position:absolute;left:0;text-align:left;margin-left:3.75pt;margin-top:632.25pt;width:327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" fillcolor="window" stroked="f" strokeweight="1pt">
                <v:textbox>
                  <w:txbxContent>
                    <w:p w:rsidR="00FE47E0" w:rsidRDefault="00FE47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※概要版のため取り組み事業の一部を抜粋しています。</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margin">
                  <wp:posOffset>-66675</wp:posOffset>
                </wp:positionH>
                <wp:positionV relativeFrom="paragraph">
                  <wp:posOffset>8437245</wp:posOffset>
                </wp:positionV>
                <wp:extent cx="1800225" cy="307340"/>
                <wp:effectExtent l="0" t="0" r="0" b="0"/>
                <wp:wrapNone/>
                <wp:docPr id="8" name="テキスト ボックス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800225" cy="307340"/>
                        </a:xfrm>
                        <a:prstGeom prst="rect">
                          <a:avLst/>
                        </a:prstGeom>
                        <a:noFill/>
                      </wps:spPr>
                      <wps:txbx>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６　計画の最終評価</w:t>
                            </w:r>
                          </w:p>
                        </w:txbxContent>
                      </wps:txbx>
                      <wps:bodyPr wrap="none" rtlCol="0">
                        <a:spAutoFit/>
                      </wps:bodyPr>
                    </wps:wsp>
                  </a:graphicData>
                </a:graphic>
              </wp:anchor>
            </w:drawing>
          </mc:Choice>
          <mc:Fallback>
            <w:pict>
              <v:shape id="テキスト ボックス 4" o:spid="_x0000_s1036" type="#_x0000_t202" style="position:absolute;left:0;text-align:left;margin-left:-5.25pt;margin-top:664.35pt;width:141.75pt;height:24.2pt;z-index:2516981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" filled="f" stroked="f">
                <v:textbox style="mso-fit-shape-to-text:t">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６　計画の最終評価</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margin">
                  <wp:posOffset>-123825</wp:posOffset>
                </wp:positionH>
                <wp:positionV relativeFrom="paragraph">
                  <wp:posOffset>-104775</wp:posOffset>
                </wp:positionV>
                <wp:extent cx="2877185" cy="438150"/>
                <wp:effectExtent l="0" t="0" r="0" b="0"/>
                <wp:wrapNone/>
                <wp:docPr id="12"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77185" cy="438150"/>
                        </a:xfrm>
                        <a:prstGeom prst="rect">
                          <a:avLst/>
                        </a:prstGeom>
                        <a:noFill/>
                      </wps:spPr>
                      <wps:txbx>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５　個別保健事業の見直しと今後の方向性</w:t>
                            </w:r>
                          </w:p>
                        </w:txbxContent>
                      </wps:txbx>
                      <wps:bodyPr wrap="none" rtlCol="0">
                        <a:noAutofit/>
                      </wps:bodyPr>
                    </wps:wsp>
                  </a:graphicData>
                </a:graphic>
                <wp14:sizeRelV relativeFrom="margin">
                  <wp14:pctHeight>0</wp14:pctHeight>
                </wp14:sizeRelV>
              </wp:anchor>
            </w:drawing>
          </mc:Choice>
          <mc:Fallback>
            <w:pict>
              <v:shape id="テキスト ボックス 1" o:spid="_x0000_s1037" type="#_x0000_t202" style="position:absolute;left:0;text-align:left;margin-left:-9.75pt;margin-top:-8.25pt;width:226.55pt;height:34.5pt;z-index:2516971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" filled="f" stroked="f">
                <v:textbox>
                  <w:txbxContent>
                    <w:p w:rsidR="00FE47E0" w:rsidRDefault="00FE47E0">
                      <w:pPr>
                        <w:pStyle w:val="Web"/>
                        <w:spacing w:before="0" w:beforeAutospacing="0" w:after="0" w:afterAutospacing="0"/>
                        <w:rPr>
                          <w:b/>
                        </w:rPr>
                      </w:pPr>
                      <w:r>
                        <w:rPr>
                          <w:rFonts w:ascii="ＭＳ ゴシック" w:eastAsia="ＭＳ ゴシック" w:hAnsi="ＭＳ ゴシック" w:cstheme="minorBidi" w:hint="eastAsia"/>
                          <w:b/>
                          <w:color w:val="000000" w:themeColor="text1"/>
                          <w:kern w:val="24"/>
                          <w:sz w:val="28"/>
                          <w:szCs w:val="28"/>
                        </w:rPr>
                        <w:t>５　個別保健事業の見直しと今後の方向性</w:t>
                      </w:r>
                    </w:p>
                  </w:txbxContent>
                </v:textbox>
                <w10:wrap anchorx="margin"/>
              </v:shape>
            </w:pict>
          </mc:Fallback>
        </mc:AlternateContent>
      </w:r>
    </w:p>
    <w:p w:rsidR="00C31FA8" w:rsidRDefault="00FE47E0">
      <w:pPr>
        <w:rPr>
          <w:rFonts w:ascii="ＭＳ ゴシック" w:eastAsia="ＭＳ ゴシック" w:hAnsi="ＭＳ ゴシック"/>
          <w:sz w:val="24"/>
        </w:rPr>
      </w:pPr>
      <w:r>
        <w:rPr>
          <w:noProof/>
        </w:rPr>
        <mc:AlternateContent>
          <mc:Choice Requires="wps">
            <w:drawing>
              <wp:anchor distT="0" distB="0" distL="114300" distR="114300" simplePos="0" relativeHeight="251699200" behindDoc="0" locked="0" layoutInCell="1" allowOverlap="1">
                <wp:simplePos x="0" y="0"/>
                <wp:positionH relativeFrom="margin">
                  <wp:posOffset>1</wp:posOffset>
                </wp:positionH>
                <wp:positionV relativeFrom="paragraph">
                  <wp:posOffset>8677275</wp:posOffset>
                </wp:positionV>
                <wp:extent cx="7239000" cy="600075"/>
                <wp:effectExtent l="0" t="0" r="19050" b="28575"/>
                <wp:wrapNone/>
                <wp:docPr id="9" name="テキスト ボックス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239000" cy="600075"/>
                        </a:xfrm>
                        <a:prstGeom prst="rect">
                          <a:avLst/>
                        </a:prstGeom>
                        <a:noFill/>
                        <a:ln>
                          <a:solidFill>
                            <a:sysClr val="windowText" lastClr="000000"/>
                          </a:solidFill>
                        </a:ln>
                      </wps:spPr>
                      <wps:txbx>
                        <w:txbxContent>
                          <w:p w:rsidR="00FE47E0" w:rsidRDefault="00FE47E0">
                            <w:pPr>
                              <w:pStyle w:val="Web"/>
                              <w:spacing w:before="0" w:beforeAutospacing="0" w:after="0" w:afterAutospacing="0" w:line="480" w:lineRule="auto"/>
                            </w:pPr>
                            <w:r>
                              <w:rPr>
                                <w:rFonts w:ascii="HG丸ｺﾞｼｯｸM-PRO" w:eastAsia="HG丸ｺﾞｼｯｸM-PRO" w:hAnsi="HG丸ｺﾞｼｯｸM-PRO" w:cstheme="minorBidi" w:hint="eastAsia"/>
                                <w:color w:val="000000" w:themeColor="text1"/>
                                <w:kern w:val="24"/>
                              </w:rPr>
                              <w:t>・令和５年度に、計画に掲げた目的・目標の達成状況の最終評価を行い、次期計画に反映させていく。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0;margin-top:683.25pt;width:570pt;height:4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" filled="f" strokecolor="windowText">
                <v:textbox>
                  <w:txbxContent>
                    <w:p w:rsidR="00FE47E0" w:rsidRDefault="00FE47E0">
                      <w:pPr>
                        <w:pStyle w:val="Web"/>
                        <w:spacing w:before="0" w:beforeAutospacing="0" w:after="0" w:afterAutospacing="0" w:line="480" w:lineRule="auto"/>
                      </w:pPr>
                      <w:r>
                        <w:rPr>
                          <w:rFonts w:ascii="HG丸ｺﾞｼｯｸM-PRO" w:eastAsia="HG丸ｺﾞｼｯｸM-PRO" w:hAnsi="HG丸ｺﾞｼｯｸM-PRO" w:cstheme="minorBidi" w:hint="eastAsia"/>
                          <w:color w:val="000000" w:themeColor="text1"/>
                          <w:kern w:val="24"/>
                        </w:rPr>
                        <w:t>・令和５年度に、計画に掲げた目的・目標の達成状況の最終評価を行い、次期計画に反映させていく。</w:t>
                      </w:r>
                    </w:p>
                  </w:txbxContent>
                </v:textbox>
                <w10:wrap anchorx="margin"/>
              </v:shape>
            </w:pict>
          </mc:Fallback>
        </mc:AlternateContent>
      </w:r>
    </w:p>
    <w:sectPr w:rsidR="00C31FA8">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E0" w:rsidRDefault="00FE47E0">
      <w:r>
        <w:separator/>
      </w:r>
    </w:p>
  </w:endnote>
  <w:endnote w:type="continuationSeparator" w:id="0">
    <w:p w:rsidR="00FE47E0" w:rsidRDefault="00FE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E0" w:rsidRDefault="00FE47E0">
      <w:r>
        <w:separator/>
      </w:r>
    </w:p>
  </w:footnote>
  <w:footnote w:type="continuationSeparator" w:id="0">
    <w:p w:rsidR="00FE47E0" w:rsidRDefault="00FE4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A8"/>
    <w:rsid w:val="00215F0E"/>
    <w:rsid w:val="002E4E19"/>
    <w:rsid w:val="005E693A"/>
    <w:rsid w:val="00C31FA8"/>
    <w:rsid w:val="00FE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14A4A40"/>
  <w15:chartTrackingRefBased/>
  <w15:docId w15:val="{6E1E2BA6-D975-4EEF-8EA9-96778A2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59097">
      <w:bodyDiv w:val="1"/>
      <w:marLeft w:val="0"/>
      <w:marRight w:val="0"/>
      <w:marTop w:val="0"/>
      <w:marBottom w:val="0"/>
      <w:divBdr>
        <w:top w:val="none" w:sz="0" w:space="0" w:color="auto"/>
        <w:left w:val="none" w:sz="0" w:space="0" w:color="auto"/>
        <w:bottom w:val="none" w:sz="0" w:space="0" w:color="auto"/>
        <w:right w:val="none" w:sz="0" w:space="0" w:color="auto"/>
      </w:divBdr>
    </w:div>
    <w:div w:id="1036781426">
      <w:bodyDiv w:val="1"/>
      <w:marLeft w:val="0"/>
      <w:marRight w:val="0"/>
      <w:marTop w:val="0"/>
      <w:marBottom w:val="0"/>
      <w:divBdr>
        <w:top w:val="none" w:sz="0" w:space="0" w:color="auto"/>
        <w:left w:val="none" w:sz="0" w:space="0" w:color="auto"/>
        <w:bottom w:val="none" w:sz="0" w:space="0" w:color="auto"/>
        <w:right w:val="none" w:sz="0" w:space="0" w:color="auto"/>
      </w:divBdr>
    </w:div>
    <w:div w:id="1272664155">
      <w:bodyDiv w:val="1"/>
      <w:marLeft w:val="0"/>
      <w:marRight w:val="0"/>
      <w:marTop w:val="0"/>
      <w:marBottom w:val="0"/>
      <w:divBdr>
        <w:top w:val="none" w:sz="0" w:space="0" w:color="auto"/>
        <w:left w:val="none" w:sz="0" w:space="0" w:color="auto"/>
        <w:bottom w:val="none" w:sz="0" w:space="0" w:color="auto"/>
        <w:right w:val="none" w:sz="0" w:space="0" w:color="auto"/>
      </w:divBdr>
    </w:div>
    <w:div w:id="1276714543">
      <w:bodyDiv w:val="1"/>
      <w:marLeft w:val="0"/>
      <w:marRight w:val="0"/>
      <w:marTop w:val="0"/>
      <w:marBottom w:val="0"/>
      <w:divBdr>
        <w:top w:val="none" w:sz="0" w:space="0" w:color="auto"/>
        <w:left w:val="none" w:sz="0" w:space="0" w:color="auto"/>
        <w:bottom w:val="none" w:sz="0" w:space="0" w:color="auto"/>
        <w:right w:val="none" w:sz="0" w:space="0" w:color="auto"/>
      </w:divBdr>
    </w:div>
    <w:div w:id="1537740294">
      <w:bodyDiv w:val="1"/>
      <w:marLeft w:val="0"/>
      <w:marRight w:val="0"/>
      <w:marTop w:val="0"/>
      <w:marBottom w:val="0"/>
      <w:divBdr>
        <w:top w:val="none" w:sz="0" w:space="0" w:color="auto"/>
        <w:left w:val="none" w:sz="0" w:space="0" w:color="auto"/>
        <w:bottom w:val="none" w:sz="0" w:space="0" w:color="auto"/>
        <w:right w:val="none" w:sz="0" w:space="0" w:color="auto"/>
      </w:divBdr>
    </w:div>
    <w:div w:id="20136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F230-5681-40BB-BA75-9AC6B2BD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y_nukaga</dc:creator>
  <cp:keywords/>
  <dc:description/>
  <cp:lastModifiedBy>s_yamamoto</cp:lastModifiedBy>
  <cp:revision>10</cp:revision>
  <cp:lastPrinted>2021-02-24T07:20:00Z</cp:lastPrinted>
  <dcterms:created xsi:type="dcterms:W3CDTF">2021-02-08T06:43:00Z</dcterms:created>
  <dcterms:modified xsi:type="dcterms:W3CDTF">2021-02-24T07:21:00Z</dcterms:modified>
</cp:coreProperties>
</file>