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3.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
    <w:p/>
    <w:p/>
    <w:p>
      <w:pPr>
        <w:pStyle w:val="aa"/>
        <w:framePr w:hSpace="187" w:wrap="around" w:vAnchor="page" w:hAnchor="page" w:x="1389" w:y="2926"/>
        <w:jc w:val="center"/>
        <w:rPr>
          <w:rFonts w:ascii="ＭＳ Ｐゴシック" w:eastAsia="ＭＳ Ｐゴシック" w:hAnsi="ＭＳ Ｐゴシック"/>
          <w:bCs/>
          <w:color w:val="000000"/>
          <w:sz w:val="44"/>
          <w:szCs w:val="48"/>
          <w:lang w:val="ja-JP"/>
        </w:rPr>
      </w:pPr>
      <w:r>
        <w:rPr>
          <w:rFonts w:ascii="ＭＳ Ｐゴシック" w:eastAsia="ＭＳ Ｐゴシック" w:hAnsi="ＭＳ Ｐゴシック" w:hint="eastAsia"/>
          <w:bCs/>
          <w:color w:val="000000"/>
          <w:sz w:val="44"/>
          <w:szCs w:val="48"/>
          <w:lang w:val="ja-JP"/>
        </w:rPr>
        <w:t>鶴ヶ島市国民健康保険保健事業実施計画</w:t>
      </w:r>
    </w:p>
    <w:p>
      <w:pPr>
        <w:pStyle w:val="aa"/>
        <w:framePr w:hSpace="187" w:wrap="around" w:vAnchor="page" w:hAnchor="page" w:x="1389" w:y="2926"/>
        <w:ind w:firstLineChars="200" w:firstLine="880"/>
        <w:rPr>
          <w:rFonts w:ascii="ＭＳ Ｐゴシック" w:eastAsia="ＭＳ Ｐゴシック" w:hAnsi="ＭＳ Ｐゴシック"/>
          <w:bCs/>
          <w:color w:val="000000"/>
          <w:sz w:val="44"/>
          <w:szCs w:val="48"/>
          <w:lang w:val="ja-JP"/>
        </w:rPr>
      </w:pPr>
      <w:r>
        <w:rPr>
          <w:rFonts w:ascii="ＭＳ Ｐゴシック" w:eastAsia="ＭＳ Ｐゴシック" w:hAnsi="ＭＳ Ｐゴシック" w:hint="eastAsia"/>
          <w:bCs/>
          <w:color w:val="000000"/>
          <w:sz w:val="44"/>
          <w:szCs w:val="48"/>
          <w:lang w:val="ja-JP"/>
        </w:rPr>
        <w:t>（データヘルス計画）及び第３期鶴ヶ島市</w:t>
      </w:r>
    </w:p>
    <w:p>
      <w:pPr>
        <w:pStyle w:val="aa"/>
        <w:framePr w:hSpace="187" w:wrap="around" w:vAnchor="page" w:hAnchor="page" w:x="1389" w:y="2926"/>
        <w:ind w:firstLineChars="150" w:firstLine="660"/>
        <w:rPr>
          <w:rFonts w:ascii="ＭＳ Ｐゴシック" w:eastAsia="ＭＳ Ｐゴシック" w:hAnsi="ＭＳ Ｐゴシック"/>
          <w:bCs/>
          <w:color w:val="000000"/>
          <w:sz w:val="44"/>
          <w:szCs w:val="48"/>
          <w:lang w:val="ja-JP"/>
        </w:rPr>
      </w:pPr>
      <w:r>
        <w:rPr>
          <w:rFonts w:ascii="ＭＳ Ｐゴシック" w:eastAsia="ＭＳ Ｐゴシック" w:hAnsi="ＭＳ Ｐゴシック" w:hint="eastAsia"/>
          <w:bCs/>
          <w:color w:val="000000"/>
          <w:sz w:val="44"/>
          <w:szCs w:val="48"/>
          <w:lang w:val="ja-JP"/>
        </w:rPr>
        <w:t>特定健康診査等実施計画中間評価報告書</w:t>
      </w:r>
    </w:p>
    <w:p>
      <w:pPr>
        <w:framePr w:hSpace="187" w:wrap="around" w:vAnchor="page" w:hAnchor="page" w:x="1389" w:y="2926"/>
        <w:jc w:val="center"/>
      </w:pPr>
    </w:p>
    <w:p>
      <w:pPr>
        <w:pStyle w:val="aa"/>
        <w:framePr w:hSpace="187" w:wrap="around" w:vAnchor="page" w:hAnchor="page" w:x="1389" w:y="2926"/>
        <w:jc w:val="center"/>
        <w:rPr>
          <w:rFonts w:ascii="HG丸ｺﾞｼｯｸM-PRO" w:eastAsia="HG丸ｺﾞｼｯｸM-PRO" w:hAnsi="HG丸ｺﾞｼｯｸM-PRO"/>
          <w:bCs/>
          <w:color w:val="000000"/>
          <w:sz w:val="44"/>
          <w:szCs w:val="48"/>
          <w:lang w:val="ja-JP"/>
        </w:rPr>
      </w:pPr>
    </w:p>
    <w:p>
      <w:r>
        <w:rPr>
          <w:noProof/>
        </w:rPr>
        <mc:AlternateContent>
          <mc:Choice Requires="wps">
            <w:drawing>
              <wp:anchor distT="0" distB="0" distL="114300" distR="114300" simplePos="0" relativeHeight="251781632" behindDoc="1" locked="0" layoutInCell="1" allowOverlap="1">
                <wp:simplePos x="0" y="0"/>
                <wp:positionH relativeFrom="column">
                  <wp:posOffset>1080770</wp:posOffset>
                </wp:positionH>
                <wp:positionV relativeFrom="paragraph">
                  <wp:posOffset>2379345</wp:posOffset>
                </wp:positionV>
                <wp:extent cx="4667250" cy="5057775"/>
                <wp:effectExtent l="0" t="0" r="0" b="9525"/>
                <wp:wrapNone/>
                <wp:docPr id="47" name="正方形/長方形 47"/>
                <wp:cNvGraphicFramePr/>
                <a:graphic xmlns:a="http://schemas.openxmlformats.org/drawingml/2006/main">
                  <a:graphicData uri="http://schemas.microsoft.com/office/word/2010/wordprocessingShape">
                    <wps:wsp>
                      <wps:cNvSpPr/>
                      <wps:spPr>
                        <a:xfrm>
                          <a:off x="0" y="0"/>
                          <a:ext cx="4667250" cy="50577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pPr>
                          </w:p>
                          <w:p>
                            <w:pPr>
                              <w:jc w:val="center"/>
                            </w:pPr>
                            <w:r>
                              <w:rPr>
                                <w:noProof/>
                              </w:rPr>
                              <w:drawing>
                                <wp:inline distT="0" distB="0" distL="0" distR="0">
                                  <wp:extent cx="3105102" cy="3505200"/>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2844" cy="35478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7" o:spid="_x0000_s1026" style="position:absolute;left:0;text-align:left;margin-left:85.1pt;margin-top:187.35pt;width:367.5pt;height:398.2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" fillcolor="white [3201]" stroked="f" strokeweight="1pt">
                <v:textbox>
                  <w:txbxContent>
                    <w:p>
                      <w:pPr>
                        <w:jc w:val="center"/>
                      </w:pPr>
                    </w:p>
                    <w:p>
                      <w:pPr>
                        <w:jc w:val="center"/>
                      </w:pPr>
                      <w:r>
                        <w:rPr>
                          <w:noProof/>
                        </w:rPr>
                        <w:drawing>
                          <wp:inline distT="0" distB="0" distL="0" distR="0">
                            <wp:extent cx="3105102" cy="3505200"/>
                            <wp:effectExtent l="0" t="0" r="635"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2844" cy="3547805"/>
                                    </a:xfrm>
                                    <a:prstGeom prst="rect">
                                      <a:avLst/>
                                    </a:prstGeom>
                                    <a:noFill/>
                                    <a:ln>
                                      <a:noFill/>
                                    </a:ln>
                                  </pic:spPr>
                                </pic:pic>
                              </a:graphicData>
                            </a:graphic>
                          </wp:inline>
                        </w:drawing>
                      </w:r>
                    </w:p>
                  </w:txbxContent>
                </v:textbox>
              </v:rect>
            </w:pict>
          </mc:Fallback>
        </mc:AlternateContent>
      </w:r>
    </w:p>
    <w:p/>
    <w:p/>
    <w:p/>
    <w:p/>
    <w:p>
      <w:r>
        <w:rPr>
          <w:rFonts w:asciiTheme="majorEastAsia" w:eastAsiaTheme="majorEastAsia" w:hAnsiTheme="majorEastAsia"/>
          <w:noProof/>
        </w:rPr>
        <mc:AlternateContent>
          <mc:Choice Requires="wps">
            <w:drawing>
              <wp:anchor distT="0" distB="0" distL="114300" distR="114300" simplePos="0" relativeHeight="251780608" behindDoc="0" locked="0" layoutInCell="1" allowOverlap="1">
                <wp:simplePos x="0" y="0"/>
                <wp:positionH relativeFrom="column">
                  <wp:posOffset>3985895</wp:posOffset>
                </wp:positionH>
                <wp:positionV relativeFrom="paragraph">
                  <wp:posOffset>207645</wp:posOffset>
                </wp:positionV>
                <wp:extent cx="723900" cy="1844326"/>
                <wp:effectExtent l="57150" t="19050" r="57150" b="22860"/>
                <wp:wrapNone/>
                <wp:docPr id="9" name="テキスト ボックス 9"/>
                <wp:cNvGraphicFramePr/>
                <a:graphic xmlns:a="http://schemas.openxmlformats.org/drawingml/2006/main">
                  <a:graphicData uri="http://schemas.microsoft.com/office/word/2010/wordprocessingShape">
                    <wps:wsp>
                      <wps:cNvSpPr txBox="1"/>
                      <wps:spPr>
                        <a:xfrm rot="181995">
                          <a:off x="0" y="0"/>
                          <a:ext cx="723900" cy="1844326"/>
                        </a:xfrm>
                        <a:prstGeom prst="rect">
                          <a:avLst/>
                        </a:prstGeom>
                        <a:solidFill>
                          <a:schemeClr val="lt1"/>
                        </a:solidFill>
                        <a:ln w="6350">
                          <a:noFill/>
                        </a:ln>
                      </wps:spPr>
                      <wps:txbx>
                        <w:txbxContent>
                          <w:p>
                            <w:pPr>
                              <w:rPr>
                                <w:rFonts w:ascii="HGS創英角ﾎﾟｯﾌﾟ体" w:eastAsia="HGS創英角ﾎﾟｯﾌﾟ体" w:hAnsi="HGS創英角ﾎﾟｯﾌﾟ体"/>
                                <w:sz w:val="25"/>
                                <w:szCs w:val="25"/>
                              </w:rPr>
                            </w:pPr>
                            <w:r>
                              <w:rPr>
                                <w:rFonts w:ascii="HGS創英角ﾎﾟｯﾌﾟ体" w:eastAsia="HGS創英角ﾎﾟｯﾌﾟ体" w:hAnsi="HGS創英角ﾎﾟｯﾌﾟ体" w:hint="eastAsia"/>
                                <w:sz w:val="25"/>
                                <w:szCs w:val="25"/>
                              </w:rPr>
                              <w:t>けんこう</w:t>
                            </w:r>
                            <w:r>
                              <w:rPr>
                                <w:rFonts w:ascii="HGS創英角ﾎﾟｯﾌﾟ体" w:eastAsia="HGS創英角ﾎﾟｯﾌﾟ体" w:hAnsi="HGS創英角ﾎﾟｯﾌﾟ体"/>
                                <w:sz w:val="25"/>
                                <w:szCs w:val="25"/>
                              </w:rPr>
                              <w:t>大使の</w:t>
                            </w:r>
                          </w:p>
                          <w:p>
                            <w:pPr>
                              <w:ind w:firstLineChars="500" w:firstLine="125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5"/>
                                <w:szCs w:val="25"/>
                              </w:rPr>
                              <w:t>つるゴン</w:t>
                            </w:r>
                            <w:r>
                              <w:rPr>
                                <w:rFonts w:ascii="HGS創英角ﾎﾟｯﾌﾟ体" w:eastAsia="HGS創英角ﾎﾟｯﾌﾟ体" w:hAnsi="HGS創英角ﾎﾟｯﾌﾟ体"/>
                                <w:sz w:val="25"/>
                                <w:szCs w:val="25"/>
                              </w:rPr>
                              <w:t>です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7" type="#_x0000_t202" style="position:absolute;left:0;text-align:left;margin-left:313.85pt;margin-top:16.35pt;width:57pt;height:145.2pt;rotation:198787fd;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" fillcolor="white [3201]" stroked="f" strokeweight=".5pt">
                <v:textbox style="layout-flow:vertical-ideographic">
                  <w:txbxContent>
                    <w:p>
                      <w:pPr>
                        <w:rPr>
                          <w:rFonts w:ascii="HGS創英角ﾎﾟｯﾌﾟ体" w:eastAsia="HGS創英角ﾎﾟｯﾌﾟ体" w:hAnsi="HGS創英角ﾎﾟｯﾌﾟ体"/>
                          <w:sz w:val="25"/>
                          <w:szCs w:val="25"/>
                        </w:rPr>
                      </w:pPr>
                      <w:r>
                        <w:rPr>
                          <w:rFonts w:ascii="HGS創英角ﾎﾟｯﾌﾟ体" w:eastAsia="HGS創英角ﾎﾟｯﾌﾟ体" w:hAnsi="HGS創英角ﾎﾟｯﾌﾟ体" w:hint="eastAsia"/>
                          <w:sz w:val="25"/>
                          <w:szCs w:val="25"/>
                        </w:rPr>
                        <w:t>けんこう</w:t>
                      </w:r>
                      <w:r>
                        <w:rPr>
                          <w:rFonts w:ascii="HGS創英角ﾎﾟｯﾌﾟ体" w:eastAsia="HGS創英角ﾎﾟｯﾌﾟ体" w:hAnsi="HGS創英角ﾎﾟｯﾌﾟ体"/>
                          <w:sz w:val="25"/>
                          <w:szCs w:val="25"/>
                        </w:rPr>
                        <w:t>大使の</w:t>
                      </w:r>
                    </w:p>
                    <w:p>
                      <w:pPr>
                        <w:ind w:firstLineChars="500" w:firstLine="1250"/>
                        <w:rPr>
                          <w:rFonts w:ascii="HGS創英角ﾎﾟｯﾌﾟ体" w:eastAsia="HGS創英角ﾎﾟｯﾌﾟ体" w:hAnsi="HGS創英角ﾎﾟｯﾌﾟ体"/>
                          <w:sz w:val="24"/>
                          <w:szCs w:val="24"/>
                        </w:rPr>
                      </w:pPr>
                      <w:r>
                        <w:rPr>
                          <w:rFonts w:ascii="HGS創英角ﾎﾟｯﾌﾟ体" w:eastAsia="HGS創英角ﾎﾟｯﾌﾟ体" w:hAnsi="HGS創英角ﾎﾟｯﾌﾟ体" w:hint="eastAsia"/>
                          <w:sz w:val="25"/>
                          <w:szCs w:val="25"/>
                        </w:rPr>
                        <w:t>つるゴン</w:t>
                      </w:r>
                      <w:r>
                        <w:rPr>
                          <w:rFonts w:ascii="HGS創英角ﾎﾟｯﾌﾟ体" w:eastAsia="HGS創英角ﾎﾟｯﾌﾟ体" w:hAnsi="HGS創英角ﾎﾟｯﾌﾟ体"/>
                          <w:sz w:val="25"/>
                          <w:szCs w:val="25"/>
                        </w:rPr>
                        <w:t>です</w:t>
                      </w:r>
                    </w:p>
                  </w:txbxContent>
                </v:textbox>
              </v:shape>
            </w:pict>
          </mc:Fallback>
        </mc:AlternateContent>
      </w:r>
    </w:p>
    <w:p/>
    <w:p/>
    <w:p/>
    <w:p/>
    <w:p/>
    <w:p/>
    <w:p/>
    <w:p/>
    <w:p/>
    <w:p/>
    <w:p/>
    <w:p/>
    <w:p/>
    <w:p/>
    <w:p/>
    <w:p/>
    <w:p/>
    <w:p>
      <w:bookmarkStart w:id="0" w:name="_GoBack"/>
      <w:bookmarkEnd w:id="0"/>
      <w:r>
        <w:rPr>
          <w:noProof/>
        </w:rPr>
        <mc:AlternateContent>
          <mc:Choice Requires="wps">
            <w:drawing>
              <wp:anchor distT="0" distB="0" distL="114300" distR="114300" simplePos="0" relativeHeight="251782656" behindDoc="0" locked="0" layoutInCell="1" allowOverlap="1">
                <wp:simplePos x="0" y="0"/>
                <wp:positionH relativeFrom="column">
                  <wp:posOffset>1321775</wp:posOffset>
                </wp:positionH>
                <wp:positionV relativeFrom="paragraph">
                  <wp:posOffset>88382</wp:posOffset>
                </wp:positionV>
                <wp:extent cx="3105150" cy="1116419"/>
                <wp:effectExtent l="0" t="0" r="0" b="7620"/>
                <wp:wrapNone/>
                <wp:docPr id="50" name="正方形/長方形 50"/>
                <wp:cNvGraphicFramePr/>
                <a:graphic xmlns:a="http://schemas.openxmlformats.org/drawingml/2006/main">
                  <a:graphicData uri="http://schemas.microsoft.com/office/word/2010/wordprocessingShape">
                    <wps:wsp>
                      <wps:cNvSpPr/>
                      <wps:spPr>
                        <a:xfrm>
                          <a:off x="0" y="0"/>
                          <a:ext cx="3105150" cy="1116419"/>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pPr>
                              <w:jc w:val="center"/>
                              <w:rPr>
                                <w:rFonts w:ascii="ＭＳ Ｐゴシック" w:eastAsia="ＭＳ Ｐゴシック" w:hAnsi="ＭＳ Ｐゴシック"/>
                                <w:sz w:val="44"/>
                              </w:rPr>
                            </w:pPr>
                            <w:r>
                              <w:rPr>
                                <w:rFonts w:ascii="ＭＳ Ｐゴシック" w:eastAsia="ＭＳ Ｐゴシック" w:hAnsi="ＭＳ Ｐゴシック" w:hint="eastAsia"/>
                                <w:sz w:val="44"/>
                              </w:rPr>
                              <w:t>鶴ヶ島市</w:t>
                            </w:r>
                          </w:p>
                          <w:p>
                            <w:pPr>
                              <w:jc w:val="center"/>
                              <w:rPr>
                                <w:rFonts w:ascii="ＭＳ Ｐゴシック" w:eastAsia="ＭＳ Ｐゴシック" w:hAnsi="ＭＳ Ｐゴシック" w:hint="eastAsia"/>
                                <w:sz w:val="44"/>
                              </w:rPr>
                            </w:pPr>
                            <w:r>
                              <w:rPr>
                                <w:rFonts w:ascii="ＭＳ Ｐゴシック" w:eastAsia="ＭＳ Ｐゴシック" w:hAnsi="ＭＳ Ｐゴシック" w:hint="eastAsia"/>
                                <w:sz w:val="44"/>
                              </w:rPr>
                              <w:t>令和３年３月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50" o:spid="_x0000_s1028" style="position:absolute;left:0;text-align:left;margin-left:104.1pt;margin-top:6.95pt;width:244.5pt;height:87.9pt;z-index:25178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" fillcolor="white [3201]" stroked="f" strokeweight="1pt">
                <v:textbox>
                  <w:txbxContent>
                    <w:p>
                      <w:pPr>
                        <w:jc w:val="center"/>
                        <w:rPr>
                          <w:rFonts w:ascii="ＭＳ Ｐゴシック" w:eastAsia="ＭＳ Ｐゴシック" w:hAnsi="ＭＳ Ｐゴシック"/>
                          <w:sz w:val="44"/>
                        </w:rPr>
                      </w:pPr>
                      <w:r>
                        <w:rPr>
                          <w:rFonts w:ascii="ＭＳ Ｐゴシック" w:eastAsia="ＭＳ Ｐゴシック" w:hAnsi="ＭＳ Ｐゴシック" w:hint="eastAsia"/>
                          <w:sz w:val="44"/>
                        </w:rPr>
                        <w:t>鶴ヶ島市</w:t>
                      </w:r>
                    </w:p>
                    <w:p>
                      <w:pPr>
                        <w:jc w:val="center"/>
                        <w:rPr>
                          <w:rFonts w:ascii="ＭＳ Ｐゴシック" w:eastAsia="ＭＳ Ｐゴシック" w:hAnsi="ＭＳ Ｐゴシック" w:hint="eastAsia"/>
                          <w:sz w:val="44"/>
                        </w:rPr>
                      </w:pPr>
                      <w:r>
                        <w:rPr>
                          <w:rFonts w:ascii="ＭＳ Ｐゴシック" w:eastAsia="ＭＳ Ｐゴシック" w:hAnsi="ＭＳ Ｐゴシック" w:hint="eastAsia"/>
                          <w:sz w:val="44"/>
                        </w:rPr>
                        <w:t>令和３年３月</w:t>
                      </w:r>
                    </w:p>
                  </w:txbxContent>
                </v:textbox>
              </v:rect>
            </w:pict>
          </mc:Fallback>
        </mc:AlternateContent>
      </w:r>
    </w:p>
    <w:p/>
    <w:p/>
    <w:p/>
    <w:p/>
    <w:p>
      <w:pPr>
        <w:widowControl/>
        <w:jc w:val="left"/>
        <w:rPr>
          <w:rFonts w:ascii="ＭＳ ゴシック" w:eastAsia="ＭＳ ゴシック" w:hAnsi="ＭＳ ゴシック" w:cs="Meiryo UI"/>
          <w:b/>
          <w:sz w:val="28"/>
          <w:szCs w:val="28"/>
        </w:rPr>
      </w:pPr>
      <w:r>
        <w:rPr>
          <w:rFonts w:ascii="ＭＳ ゴシック" w:eastAsia="ＭＳ ゴシック" w:hAnsi="ＭＳ ゴシック" w:cs="Meiryo UI"/>
          <w:b/>
          <w:sz w:val="28"/>
          <w:szCs w:val="28"/>
        </w:rPr>
        <w:br w:type="page"/>
      </w:r>
    </w:p>
    <w:p>
      <w:pPr>
        <w:tabs>
          <w:tab w:val="left" w:pos="1960"/>
        </w:tabs>
        <w:ind w:firstLineChars="100" w:firstLine="281"/>
        <w:jc w:val="left"/>
        <w:rPr>
          <w:rFonts w:ascii="ＭＳ ゴシック" w:eastAsia="ＭＳ ゴシック" w:hAnsi="ＭＳ ゴシック" w:cs="Meiryo UI"/>
          <w:b/>
          <w:sz w:val="28"/>
          <w:szCs w:val="28"/>
        </w:rPr>
      </w:pPr>
    </w:p>
    <w:p>
      <w:pPr>
        <w:tabs>
          <w:tab w:val="left" w:pos="1960"/>
        </w:tabs>
        <w:ind w:firstLineChars="100" w:firstLine="281"/>
        <w:jc w:val="left"/>
        <w:rPr>
          <w:rFonts w:ascii="ＭＳ ゴシック" w:eastAsia="ＭＳ ゴシック" w:hAnsi="ＭＳ ゴシック" w:cs="Meiryo UI"/>
          <w:b/>
          <w:sz w:val="28"/>
          <w:szCs w:val="28"/>
        </w:rPr>
      </w:pPr>
      <w:r>
        <w:rPr>
          <w:rFonts w:ascii="ＭＳ ゴシック" w:eastAsia="ＭＳ ゴシック" w:hAnsi="ＭＳ ゴシック" w:cs="Meiryo UI" w:hint="eastAsia"/>
          <w:b/>
          <w:sz w:val="28"/>
          <w:szCs w:val="28"/>
        </w:rPr>
        <w:t>目次</w:t>
      </w:r>
    </w:p>
    <w:p>
      <w:pPr>
        <w:spacing w:line="320" w:lineRule="exact"/>
        <w:rPr>
          <w:rFonts w:ascii="ＭＳ ゴシック" w:eastAsia="ＭＳ ゴシック" w:hAnsi="ＭＳ ゴシック" w:cs="Meiryo UI"/>
          <w:color w:val="FF0000"/>
          <w:sz w:val="24"/>
          <w:szCs w:val="24"/>
        </w:rPr>
      </w:pP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１</w:t>
      </w:r>
      <w:r>
        <w:rPr>
          <w:rFonts w:asciiTheme="majorEastAsia" w:eastAsiaTheme="majorEastAsia" w:hAnsiTheme="majorEastAsia" w:cs="Meiryo UI" w:hint="eastAsia"/>
          <w:b/>
          <w:color w:val="FF0000"/>
          <w:sz w:val="24"/>
          <w:szCs w:val="24"/>
        </w:rPr>
        <w:t xml:space="preserve">　</w:t>
      </w:r>
      <w:r>
        <w:rPr>
          <w:rFonts w:asciiTheme="majorEastAsia" w:eastAsiaTheme="majorEastAsia" w:hAnsiTheme="majorEastAsia" w:cs="Meiryo UI" w:hint="eastAsia"/>
          <w:b/>
          <w:color w:val="000000" w:themeColor="text1"/>
          <w:sz w:val="24"/>
          <w:szCs w:val="24"/>
        </w:rPr>
        <w:t>中間評価</w:t>
      </w:r>
      <w:r>
        <w:rPr>
          <w:rFonts w:asciiTheme="majorEastAsia" w:eastAsiaTheme="majorEastAsia" w:hAnsiTheme="majorEastAsia" w:cs="Meiryo UI"/>
          <w:b/>
          <w:color w:val="000000" w:themeColor="text1"/>
          <w:sz w:val="24"/>
          <w:szCs w:val="24"/>
        </w:rPr>
        <w:t>の目的</w:t>
      </w:r>
      <w:r>
        <w:rPr>
          <w:rFonts w:asciiTheme="majorEastAsia" w:eastAsiaTheme="majorEastAsia" w:hAnsiTheme="majorEastAsia" w:hint="eastAsia"/>
          <w:b/>
          <w:sz w:val="24"/>
        </w:rPr>
        <w:t>・・・・・・・・・・・・・・・・・・・・・</w:t>
      </w:r>
      <w:r>
        <w:rPr>
          <w:rFonts w:asciiTheme="majorEastAsia" w:eastAsiaTheme="majorEastAsia" w:hAnsiTheme="majorEastAsia" w:cs="Meiryo UI" w:hint="eastAsia"/>
          <w:b/>
          <w:color w:val="000000" w:themeColor="text1"/>
          <w:sz w:val="24"/>
          <w:szCs w:val="24"/>
        </w:rPr>
        <w:t>１</w:t>
      </w:r>
    </w:p>
    <w:p>
      <w:pPr>
        <w:spacing w:line="320" w:lineRule="exact"/>
        <w:ind w:firstLineChars="100" w:firstLine="241"/>
        <w:rPr>
          <w:rFonts w:asciiTheme="majorEastAsia" w:eastAsiaTheme="majorEastAsia" w:hAnsiTheme="majorEastAsia" w:cs="Meiryo UI"/>
          <w:b/>
          <w:color w:val="000000" w:themeColor="text1"/>
          <w:sz w:val="24"/>
          <w:szCs w:val="24"/>
        </w:rPr>
      </w:pP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２　中間評価の</w:t>
      </w:r>
      <w:r>
        <w:rPr>
          <w:rFonts w:asciiTheme="majorEastAsia" w:eastAsiaTheme="majorEastAsia" w:hAnsiTheme="majorEastAsia" w:cs="Meiryo UI"/>
          <w:b/>
          <w:color w:val="000000" w:themeColor="text1"/>
          <w:sz w:val="24"/>
          <w:szCs w:val="24"/>
        </w:rPr>
        <w:t>実施方法・体制</w:t>
      </w:r>
      <w:r>
        <w:rPr>
          <w:rFonts w:asciiTheme="majorEastAsia" w:eastAsiaTheme="majorEastAsia" w:hAnsiTheme="majorEastAsia" w:hint="eastAsia"/>
          <w:b/>
          <w:sz w:val="24"/>
        </w:rPr>
        <w:t>・・・・・・・・・・・・・・・・</w:t>
      </w:r>
      <w:r>
        <w:rPr>
          <w:rFonts w:asciiTheme="majorEastAsia" w:eastAsiaTheme="majorEastAsia" w:hAnsiTheme="majorEastAsia" w:cs="Meiryo UI" w:hint="eastAsia"/>
          <w:b/>
          <w:color w:val="000000" w:themeColor="text1"/>
          <w:sz w:val="24"/>
          <w:szCs w:val="24"/>
        </w:rPr>
        <w:t>１</w:t>
      </w: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 xml:space="preserve">　　</w:t>
      </w: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３　データヘルス計画の</w:t>
      </w:r>
      <w:r>
        <w:rPr>
          <w:rFonts w:asciiTheme="majorEastAsia" w:eastAsiaTheme="majorEastAsia" w:hAnsiTheme="majorEastAsia" w:cs="Meiryo UI"/>
          <w:b/>
          <w:color w:val="000000" w:themeColor="text1"/>
          <w:sz w:val="24"/>
          <w:szCs w:val="24"/>
        </w:rPr>
        <w:t>概要</w:t>
      </w:r>
      <w:r>
        <w:rPr>
          <w:rFonts w:asciiTheme="majorEastAsia" w:eastAsiaTheme="majorEastAsia" w:hAnsiTheme="majorEastAsia" w:hint="eastAsia"/>
          <w:b/>
          <w:sz w:val="24"/>
        </w:rPr>
        <w:t>・・・・・・・・・・・・・・・・・</w:t>
      </w:r>
      <w:r>
        <w:rPr>
          <w:rFonts w:asciiTheme="majorEastAsia" w:eastAsiaTheme="majorEastAsia" w:hAnsiTheme="majorEastAsia" w:cs="Meiryo UI" w:hint="eastAsia"/>
          <w:b/>
          <w:color w:val="000000" w:themeColor="text1"/>
          <w:sz w:val="24"/>
          <w:szCs w:val="24"/>
        </w:rPr>
        <w:t>２</w:t>
      </w:r>
    </w:p>
    <w:p>
      <w:pPr>
        <w:spacing w:line="320" w:lineRule="exact"/>
        <w:ind w:firstLineChars="100" w:firstLine="241"/>
        <w:rPr>
          <w:rFonts w:asciiTheme="majorEastAsia" w:eastAsiaTheme="majorEastAsia" w:hAnsiTheme="majorEastAsia" w:cs="Meiryo UI"/>
          <w:b/>
          <w:color w:val="000000" w:themeColor="text1"/>
          <w:sz w:val="24"/>
          <w:szCs w:val="24"/>
        </w:rPr>
      </w:pP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４　主な評価指標の</w:t>
      </w:r>
      <w:r>
        <w:rPr>
          <w:rFonts w:asciiTheme="majorEastAsia" w:eastAsiaTheme="majorEastAsia" w:hAnsiTheme="majorEastAsia" w:cs="Meiryo UI"/>
          <w:b/>
          <w:color w:val="000000" w:themeColor="text1"/>
          <w:sz w:val="24"/>
          <w:szCs w:val="24"/>
        </w:rPr>
        <w:t>推移</w:t>
      </w:r>
      <w:r>
        <w:rPr>
          <w:rFonts w:asciiTheme="majorEastAsia" w:eastAsiaTheme="majorEastAsia" w:hAnsiTheme="majorEastAsia" w:hint="eastAsia"/>
          <w:b/>
          <w:sz w:val="24"/>
        </w:rPr>
        <w:t>に基づく健康課題の把握・・・・・・・・４</w:t>
      </w:r>
    </w:p>
    <w:p>
      <w:pPr>
        <w:spacing w:line="320" w:lineRule="exact"/>
        <w:ind w:firstLineChars="100" w:firstLine="241"/>
        <w:rPr>
          <w:rFonts w:asciiTheme="majorEastAsia" w:eastAsiaTheme="majorEastAsia" w:hAnsiTheme="majorEastAsia" w:cs="Meiryo UI"/>
          <w:b/>
          <w:color w:val="000000" w:themeColor="text1"/>
          <w:sz w:val="24"/>
          <w:szCs w:val="24"/>
        </w:rPr>
      </w:pP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５　個別保健事業の評価</w:t>
      </w:r>
      <w:r>
        <w:rPr>
          <w:rFonts w:asciiTheme="majorEastAsia" w:eastAsiaTheme="majorEastAsia" w:hAnsiTheme="majorEastAsia" w:cs="Meiryo UI"/>
          <w:b/>
          <w:color w:val="000000" w:themeColor="text1"/>
          <w:sz w:val="24"/>
          <w:szCs w:val="24"/>
        </w:rPr>
        <w:t>と見直し</w:t>
      </w:r>
      <w:r>
        <w:rPr>
          <w:rFonts w:asciiTheme="majorEastAsia" w:eastAsiaTheme="majorEastAsia" w:hAnsiTheme="majorEastAsia" w:hint="eastAsia"/>
          <w:b/>
          <w:sz w:val="24"/>
        </w:rPr>
        <w:t>・・・・・・・・・・・・・・１４</w:t>
      </w: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color w:val="000000" w:themeColor="text1"/>
          <w:sz w:val="24"/>
          <w:szCs w:val="24"/>
        </w:rPr>
        <w:t xml:space="preserve">　</w:t>
      </w:r>
    </w:p>
    <w:p>
      <w:pPr>
        <w:spacing w:line="320" w:lineRule="exact"/>
        <w:ind w:firstLineChars="100" w:firstLine="241"/>
        <w:rPr>
          <w:rFonts w:asciiTheme="majorEastAsia" w:eastAsiaTheme="majorEastAsia" w:hAnsiTheme="majorEastAsia" w:cs="Meiryo UI"/>
          <w:b/>
          <w:sz w:val="24"/>
          <w:szCs w:val="24"/>
        </w:rPr>
      </w:pPr>
      <w:r>
        <w:rPr>
          <w:rFonts w:asciiTheme="majorEastAsia" w:eastAsiaTheme="majorEastAsia" w:hAnsiTheme="majorEastAsia" w:cs="Meiryo UI" w:hint="eastAsia"/>
          <w:b/>
          <w:color w:val="000000" w:themeColor="text1"/>
          <w:sz w:val="24"/>
          <w:szCs w:val="24"/>
        </w:rPr>
        <w:t xml:space="preserve">６　</w:t>
      </w:r>
      <w:r>
        <w:rPr>
          <w:rFonts w:asciiTheme="majorEastAsia" w:eastAsiaTheme="majorEastAsia" w:hAnsiTheme="majorEastAsia" w:cs="Meiryo UI" w:hint="eastAsia"/>
          <w:b/>
          <w:sz w:val="24"/>
          <w:szCs w:val="24"/>
        </w:rPr>
        <w:t>全体の計画の評価と見直し</w:t>
      </w:r>
      <w:r>
        <w:rPr>
          <w:rFonts w:asciiTheme="majorEastAsia" w:eastAsiaTheme="majorEastAsia" w:hAnsiTheme="majorEastAsia" w:hint="eastAsia"/>
          <w:b/>
          <w:sz w:val="24"/>
        </w:rPr>
        <w:t>・・・・・・・・・・・・・・・２</w:t>
      </w:r>
      <w:r>
        <w:rPr>
          <w:rFonts w:asciiTheme="majorEastAsia" w:eastAsiaTheme="majorEastAsia" w:hAnsiTheme="majorEastAsia" w:cs="Meiryo UI" w:hint="eastAsia"/>
          <w:b/>
          <w:sz w:val="24"/>
          <w:szCs w:val="24"/>
        </w:rPr>
        <w:t>４</w:t>
      </w:r>
    </w:p>
    <w:p>
      <w:pPr>
        <w:spacing w:line="320" w:lineRule="exact"/>
        <w:ind w:firstLineChars="100" w:firstLine="241"/>
        <w:rPr>
          <w:rFonts w:asciiTheme="majorEastAsia" w:eastAsiaTheme="majorEastAsia" w:hAnsiTheme="majorEastAsia" w:cs="Meiryo UI"/>
          <w:b/>
          <w:sz w:val="24"/>
          <w:szCs w:val="24"/>
        </w:rPr>
      </w:pPr>
    </w:p>
    <w:p>
      <w:pPr>
        <w:spacing w:line="320" w:lineRule="exact"/>
        <w:ind w:firstLineChars="100" w:firstLine="241"/>
        <w:rPr>
          <w:rFonts w:asciiTheme="majorEastAsia" w:eastAsiaTheme="majorEastAsia" w:hAnsiTheme="majorEastAsia" w:cs="Meiryo UI"/>
          <w:b/>
          <w:color w:val="000000" w:themeColor="text1"/>
          <w:sz w:val="24"/>
          <w:szCs w:val="24"/>
        </w:rPr>
      </w:pPr>
      <w:r>
        <w:rPr>
          <w:rFonts w:asciiTheme="majorEastAsia" w:eastAsiaTheme="majorEastAsia" w:hAnsiTheme="majorEastAsia" w:cs="Meiryo UI" w:hint="eastAsia"/>
          <w:b/>
          <w:sz w:val="24"/>
          <w:szCs w:val="24"/>
        </w:rPr>
        <w:t xml:space="preserve">７　</w:t>
      </w:r>
      <w:r>
        <w:rPr>
          <w:rFonts w:asciiTheme="majorEastAsia" w:eastAsiaTheme="majorEastAsia" w:hAnsiTheme="majorEastAsia" w:cs="Meiryo UI" w:hint="eastAsia"/>
          <w:b/>
          <w:color w:val="000000" w:themeColor="text1"/>
          <w:sz w:val="24"/>
          <w:szCs w:val="24"/>
        </w:rPr>
        <w:t>計画の</w:t>
      </w:r>
      <w:r>
        <w:rPr>
          <w:rFonts w:asciiTheme="majorEastAsia" w:eastAsiaTheme="majorEastAsia" w:hAnsiTheme="majorEastAsia" w:cs="Meiryo UI"/>
          <w:b/>
          <w:color w:val="000000" w:themeColor="text1"/>
          <w:sz w:val="24"/>
          <w:szCs w:val="24"/>
        </w:rPr>
        <w:t>最終評価</w:t>
      </w:r>
      <w:r>
        <w:rPr>
          <w:rFonts w:asciiTheme="majorEastAsia" w:eastAsiaTheme="majorEastAsia" w:hAnsiTheme="majorEastAsia" w:hint="eastAsia"/>
          <w:b/>
          <w:sz w:val="24"/>
        </w:rPr>
        <w:t>・・・・・・・・・・・・・・・・・・・・２５</w:t>
      </w:r>
      <w:r>
        <w:rPr>
          <w:rFonts w:asciiTheme="majorEastAsia" w:eastAsiaTheme="majorEastAsia" w:hAnsiTheme="majorEastAsia" w:cs="Meiryo UI" w:hint="eastAsia"/>
          <w:b/>
          <w:color w:val="000000" w:themeColor="text1"/>
          <w:sz w:val="24"/>
          <w:szCs w:val="24"/>
        </w:rPr>
        <w:t xml:space="preserve">　　　</w:t>
      </w: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spacing w:line="320" w:lineRule="exact"/>
        <w:ind w:firstLineChars="100" w:firstLine="241"/>
        <w:rPr>
          <w:rFonts w:asciiTheme="majorEastAsia" w:eastAsiaTheme="majorEastAsia" w:hAnsiTheme="majorEastAsia" w:cs="Meiryo UI"/>
          <w:b/>
          <w:color w:val="FF0000"/>
          <w:sz w:val="24"/>
          <w:szCs w:val="24"/>
        </w:rPr>
      </w:pPr>
    </w:p>
    <w:p>
      <w:pPr>
        <w:framePr w:w="9633" w:wrap="auto" w:hAnchor="text"/>
        <w:spacing w:line="320" w:lineRule="exact"/>
        <w:ind w:firstLineChars="100" w:firstLine="241"/>
        <w:rPr>
          <w:rFonts w:asciiTheme="majorEastAsia" w:eastAsiaTheme="majorEastAsia" w:hAnsiTheme="majorEastAsia" w:cs="Meiryo UI"/>
          <w:b/>
          <w:color w:val="FF0000"/>
          <w:sz w:val="24"/>
          <w:szCs w:val="24"/>
        </w:rPr>
        <w:sectPr>
          <w:footerReference w:type="default" r:id="rId10"/>
          <w:pgSz w:w="11906" w:h="16838" w:code="9"/>
          <w:pgMar w:top="624" w:right="1418" w:bottom="340" w:left="1418" w:header="851" w:footer="227" w:gutter="0"/>
          <w:pgNumType w:start="1"/>
          <w:cols w:space="425"/>
          <w:docGrid w:type="lines" w:linePitch="360"/>
        </w:sectPr>
      </w:pPr>
    </w:p>
    <w:p>
      <w:pPr>
        <w:tabs>
          <w:tab w:val="left" w:pos="9781"/>
        </w:tabs>
        <w:ind w:rightChars="135" w:right="283"/>
        <w:jc w:val="left"/>
        <w:rPr>
          <w:rFonts w:asciiTheme="majorEastAsia" w:eastAsiaTheme="majorEastAsia" w:hAnsiTheme="majorEastAsia" w:cs="Meiryo UI"/>
          <w:b/>
          <w:color w:val="000000" w:themeColor="text1"/>
          <w:sz w:val="24"/>
          <w:szCs w:val="24"/>
        </w:rPr>
      </w:pPr>
      <w:r>
        <w:rPr>
          <w:rFonts w:ascii="ＭＳ ゴシック" w:eastAsia="ＭＳ ゴシック" w:hAnsi="ＭＳ ゴシック" w:cs="Meiryo UI" w:hint="eastAsia"/>
          <w:b/>
          <w:color w:val="000000" w:themeColor="text1"/>
          <w:sz w:val="24"/>
          <w:szCs w:val="24"/>
        </w:rPr>
        <w:lastRenderedPageBreak/>
        <w:t xml:space="preserve">１　</w:t>
      </w:r>
      <w:r>
        <w:rPr>
          <w:rFonts w:asciiTheme="majorEastAsia" w:eastAsiaTheme="majorEastAsia" w:hAnsiTheme="majorEastAsia" w:cs="Meiryo UI" w:hint="eastAsia"/>
          <w:b/>
          <w:color w:val="000000" w:themeColor="text1"/>
          <w:sz w:val="24"/>
          <w:szCs w:val="24"/>
        </w:rPr>
        <w:t>中間評価</w:t>
      </w:r>
      <w:r>
        <w:rPr>
          <w:rFonts w:asciiTheme="majorEastAsia" w:eastAsiaTheme="majorEastAsia" w:hAnsiTheme="majorEastAsia" w:cs="Meiryo UI"/>
          <w:b/>
          <w:color w:val="000000" w:themeColor="text1"/>
          <w:sz w:val="24"/>
          <w:szCs w:val="24"/>
        </w:rPr>
        <w:t>の目的</w:t>
      </w: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r>
        <w:rPr>
          <w:rFonts w:ascii="ＭＳ ゴシック" w:eastAsia="ＭＳ ゴシック" w:hAnsi="ＭＳ ゴシック" w:cs="MS-Mincho" w:hint="eastAsia"/>
          <w:color w:val="000000" w:themeColor="text1"/>
          <w:kern w:val="0"/>
          <w:sz w:val="24"/>
        </w:rPr>
        <w:t>鶴ヶ島市国民健康保険保健事業実施計画（データヘルス計画）及び第３期鶴ヶ島市特定健康診査等実施計画（平成３０年３月策定）は、平成３０年度から令和５年度までの６年間を計画期間として策定した計画です。</w:t>
      </w: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r>
        <w:rPr>
          <w:rFonts w:ascii="ＭＳ ゴシック" w:eastAsia="ＭＳ ゴシック" w:hAnsi="ＭＳ ゴシック" w:cs="MS-Mincho" w:hint="eastAsia"/>
          <w:color w:val="000000" w:themeColor="text1"/>
          <w:kern w:val="0"/>
          <w:sz w:val="24"/>
        </w:rPr>
        <w:t>この計画では、健康・医療情報を活用して、ＰＤＣＡサイクルに沿った効果的かつ効率的な保健事業の実施を図るための事業計画を策定した上で、保健事業の実施・評価・改善を行うこととされており、今年度は、計画策定の中間年にあたるため、計画の中間評価と見直しを行うこととされています。</w:t>
      </w:r>
    </w:p>
    <w:p>
      <w:pPr>
        <w:autoSpaceDE w:val="0"/>
        <w:autoSpaceDN w:val="0"/>
        <w:adjustRightInd w:val="0"/>
        <w:ind w:leftChars="100" w:left="210" w:firstLineChars="100" w:firstLine="240"/>
        <w:jc w:val="left"/>
        <w:rPr>
          <w:rFonts w:ascii="ＭＳ ゴシック" w:eastAsia="ＭＳ ゴシック" w:hAnsi="ＭＳ ゴシック"/>
          <w:bCs/>
          <w:color w:val="000000" w:themeColor="text1"/>
          <w:sz w:val="24"/>
          <w:szCs w:val="24"/>
          <w:lang w:val="ja-JP"/>
        </w:rPr>
      </w:pPr>
      <w:r>
        <w:rPr>
          <w:rFonts w:ascii="ＭＳ ゴシック" w:eastAsia="ＭＳ ゴシック" w:hAnsi="ＭＳ ゴシック" w:cs="MS-Mincho" w:hint="eastAsia"/>
          <w:color w:val="000000" w:themeColor="text1"/>
          <w:kern w:val="0"/>
          <w:sz w:val="24"/>
        </w:rPr>
        <w:t>中間評価と見直しの方法は、計画全体並びに個別保健事業の実績等を振り返り、計画の目的・目標の達成状況・指標のあり方について、データ分析等をもとに目標達成状況や実施内容を評価し、計画期間の後半により効果的な保健事業を推進できるよう</w:t>
      </w:r>
      <w:r>
        <w:rPr>
          <w:rFonts w:ascii="ＭＳ ゴシック" w:eastAsia="ＭＳ ゴシック" w:hAnsi="ＭＳ ゴシック" w:hint="eastAsia"/>
          <w:bCs/>
          <w:color w:val="000000" w:themeColor="text1"/>
          <w:sz w:val="24"/>
          <w:szCs w:val="24"/>
          <w:lang w:val="ja-JP"/>
        </w:rPr>
        <w:t>評価と見直し</w:t>
      </w:r>
      <w:r>
        <w:rPr>
          <w:rFonts w:ascii="ＭＳ ゴシック" w:eastAsia="ＭＳ ゴシック" w:hAnsi="ＭＳ ゴシック"/>
          <w:bCs/>
          <w:color w:val="000000" w:themeColor="text1"/>
          <w:sz w:val="24"/>
          <w:szCs w:val="24"/>
          <w:lang w:val="ja-JP"/>
        </w:rPr>
        <w:t>を</w:t>
      </w:r>
      <w:r>
        <w:rPr>
          <w:rFonts w:ascii="ＭＳ ゴシック" w:eastAsia="ＭＳ ゴシック" w:hAnsi="ＭＳ ゴシック" w:hint="eastAsia"/>
          <w:bCs/>
          <w:color w:val="000000" w:themeColor="text1"/>
          <w:sz w:val="24"/>
          <w:szCs w:val="24"/>
          <w:lang w:val="ja-JP"/>
        </w:rPr>
        <w:t>行います。</w:t>
      </w: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spacing w:line="320" w:lineRule="exact"/>
        <w:ind w:left="240" w:hangingChars="100" w:hanging="24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noProof/>
          <w:color w:val="000000" w:themeColor="text1"/>
          <w:sz w:val="24"/>
          <w:szCs w:val="24"/>
        </w:rPr>
        <mc:AlternateContent>
          <mc:Choice Requires="wps">
            <w:drawing>
              <wp:anchor distT="0" distB="0" distL="114300" distR="114300" simplePos="0" relativeHeight="251760128" behindDoc="0" locked="0" layoutInCell="1" allowOverlap="1">
                <wp:simplePos x="0" y="0"/>
                <wp:positionH relativeFrom="margin">
                  <wp:posOffset>447675</wp:posOffset>
                </wp:positionH>
                <wp:positionV relativeFrom="paragraph">
                  <wp:posOffset>206376</wp:posOffset>
                </wp:positionV>
                <wp:extent cx="5210175" cy="2533650"/>
                <wp:effectExtent l="0" t="0" r="28575" b="19050"/>
                <wp:wrapNone/>
                <wp:docPr id="3" name="テキスト ボックス 3"/>
                <wp:cNvGraphicFramePr/>
                <a:graphic xmlns:a="http://schemas.openxmlformats.org/drawingml/2006/main">
                  <a:graphicData uri="http://schemas.microsoft.com/office/word/2010/wordprocessingShape">
                    <wps:wsp>
                      <wps:cNvSpPr txBox="1"/>
                      <wps:spPr>
                        <a:xfrm>
                          <a:off x="0" y="0"/>
                          <a:ext cx="5210175" cy="2533650"/>
                        </a:xfrm>
                        <a:prstGeom prst="rect">
                          <a:avLst/>
                        </a:prstGeom>
                        <a:solidFill>
                          <a:schemeClr val="lt1"/>
                        </a:solidFill>
                        <a:ln w="6350">
                          <a:solidFill>
                            <a:prstClr val="black"/>
                          </a:solidFill>
                        </a:ln>
                      </wps:spPr>
                      <wps:txbx>
                        <w:txbxContent>
                          <w:p>
                            <w:r>
                              <w:rPr>
                                <w:noProof/>
                              </w:rPr>
                              <w:t xml:space="preserve">   </w:t>
                            </w:r>
                            <w:r>
                              <w:rPr>
                                <w:noProof/>
                              </w:rPr>
                              <w:drawing>
                                <wp:inline distT="0" distB="0" distL="0" distR="0">
                                  <wp:extent cx="4695825" cy="2085975"/>
                                  <wp:effectExtent l="38100" t="0" r="9525" b="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9" type="#_x0000_t202" style="position:absolute;left:0;text-align:left;margin-left:35.25pt;margin-top:16.25pt;width:410.25pt;height:199.5pt;z-index:25176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" fillcolor="white [3201]" strokeweight=".5pt">
                <v:textbox>
                  <w:txbxContent>
                    <w:p>
                      <w:r>
                        <w:rPr>
                          <w:noProof/>
                        </w:rPr>
                        <w:t xml:space="preserve">   </w:t>
                      </w:r>
                      <w:r>
                        <w:rPr>
                          <w:noProof/>
                        </w:rPr>
                        <w:drawing>
                          <wp:inline distT="0" distB="0" distL="0" distR="0">
                            <wp:extent cx="4695825" cy="2085975"/>
                            <wp:effectExtent l="38100" t="0" r="9525" b="0"/>
                            <wp:docPr id="4" name="図表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2" r:qs="rId13" r:cs="rId14"/>
                              </a:graphicData>
                            </a:graphic>
                          </wp:inline>
                        </w:drawing>
                      </w:r>
                    </w:p>
                  </w:txbxContent>
                </v:textbox>
                <w10:wrap anchorx="margin"/>
              </v:shape>
            </w:pict>
          </mc:Fallback>
        </mc:AlternateContent>
      </w:r>
      <w:r>
        <w:rPr>
          <w:rFonts w:asciiTheme="majorEastAsia" w:eastAsiaTheme="majorEastAsia" w:hAnsiTheme="majorEastAsia" w:hint="eastAsia"/>
          <w:color w:val="000000" w:themeColor="text1"/>
          <w:sz w:val="24"/>
          <w:szCs w:val="24"/>
        </w:rPr>
        <w:t xml:space="preserve">　</w:t>
      </w:r>
      <w:r>
        <w:rPr>
          <w:rFonts w:asciiTheme="majorEastAsia" w:eastAsiaTheme="majorEastAsia" w:hAnsiTheme="majorEastAsia"/>
          <w:color w:val="000000" w:themeColor="text1"/>
          <w:sz w:val="24"/>
          <w:szCs w:val="24"/>
        </w:rPr>
        <w:t xml:space="preserve">  </w:t>
      </w:r>
      <w:r>
        <w:rPr>
          <w:rFonts w:asciiTheme="majorEastAsia" w:eastAsiaTheme="majorEastAsia" w:hAnsiTheme="majorEastAsia" w:hint="eastAsia"/>
          <w:color w:val="000000" w:themeColor="text1"/>
          <w:sz w:val="24"/>
          <w:szCs w:val="24"/>
        </w:rPr>
        <w:t>ＰＤＣＡサイクルのイメージ図</w:t>
      </w: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p>
    <w:p>
      <w:pPr>
        <w:rPr>
          <w:rFonts w:asciiTheme="majorEastAsia" w:eastAsiaTheme="majorEastAsia" w:hAnsiTheme="majorEastAsia" w:cs="Meiryo UI"/>
          <w:b/>
          <w:color w:val="000000" w:themeColor="text1"/>
          <w:sz w:val="24"/>
          <w:szCs w:val="24"/>
        </w:rPr>
      </w:pPr>
      <w:r>
        <w:rPr>
          <w:rFonts w:ascii="ＭＳ ゴシック" w:eastAsia="ＭＳ ゴシック" w:hAnsi="ＭＳ ゴシック" w:hint="eastAsia"/>
          <w:b/>
          <w:color w:val="000000" w:themeColor="text1"/>
          <w:sz w:val="24"/>
          <w:szCs w:val="24"/>
        </w:rPr>
        <w:t xml:space="preserve">２　</w:t>
      </w:r>
      <w:r>
        <w:rPr>
          <w:rFonts w:asciiTheme="majorEastAsia" w:eastAsiaTheme="majorEastAsia" w:hAnsiTheme="majorEastAsia" w:cs="Meiryo UI" w:hint="eastAsia"/>
          <w:b/>
          <w:color w:val="000000" w:themeColor="text1"/>
          <w:sz w:val="24"/>
          <w:szCs w:val="24"/>
        </w:rPr>
        <w:t>中間評価</w:t>
      </w:r>
      <w:r>
        <w:rPr>
          <w:rFonts w:asciiTheme="majorEastAsia" w:eastAsiaTheme="majorEastAsia" w:hAnsiTheme="majorEastAsia" w:cs="Meiryo UI"/>
          <w:b/>
          <w:color w:val="000000" w:themeColor="text1"/>
          <w:sz w:val="24"/>
          <w:szCs w:val="24"/>
        </w:rPr>
        <w:t>の</w:t>
      </w:r>
      <w:r>
        <w:rPr>
          <w:rFonts w:asciiTheme="majorEastAsia" w:eastAsiaTheme="majorEastAsia" w:hAnsiTheme="majorEastAsia" w:cs="Meiryo UI" w:hint="eastAsia"/>
          <w:b/>
          <w:color w:val="000000" w:themeColor="text1"/>
          <w:sz w:val="24"/>
          <w:szCs w:val="24"/>
        </w:rPr>
        <w:t>実施</w:t>
      </w:r>
      <w:r>
        <w:rPr>
          <w:rFonts w:asciiTheme="majorEastAsia" w:eastAsiaTheme="majorEastAsia" w:hAnsiTheme="majorEastAsia" w:cs="Meiryo UI"/>
          <w:b/>
          <w:color w:val="000000" w:themeColor="text1"/>
          <w:sz w:val="24"/>
          <w:szCs w:val="24"/>
        </w:rPr>
        <w:t>方法・</w:t>
      </w:r>
      <w:r>
        <w:rPr>
          <w:rFonts w:asciiTheme="majorEastAsia" w:eastAsiaTheme="majorEastAsia" w:hAnsiTheme="majorEastAsia" w:cs="Meiryo UI" w:hint="eastAsia"/>
          <w:b/>
          <w:color w:val="000000" w:themeColor="text1"/>
          <w:sz w:val="24"/>
          <w:szCs w:val="24"/>
        </w:rPr>
        <w:t>体制</w:t>
      </w:r>
    </w:p>
    <w:p>
      <w:pPr>
        <w:autoSpaceDE w:val="0"/>
        <w:autoSpaceDN w:val="0"/>
        <w:adjustRightInd w:val="0"/>
        <w:ind w:leftChars="100" w:left="210" w:firstLineChars="100" w:firstLine="240"/>
        <w:jc w:val="left"/>
        <w:rPr>
          <w:rFonts w:ascii="ＭＳ ゴシック" w:eastAsia="ＭＳ ゴシック" w:hAnsi="ＭＳ ゴシック" w:cs="MS-Mincho"/>
          <w:color w:val="000000" w:themeColor="text1"/>
          <w:kern w:val="0"/>
          <w:sz w:val="24"/>
        </w:rPr>
      </w:pPr>
      <w:r>
        <w:rPr>
          <w:rFonts w:asciiTheme="majorEastAsia" w:eastAsiaTheme="majorEastAsia" w:hAnsiTheme="majorEastAsia" w:cs="Meiryo UI" w:hint="eastAsia"/>
          <w:color w:val="000000" w:themeColor="text1"/>
          <w:sz w:val="24"/>
          <w:szCs w:val="24"/>
        </w:rPr>
        <w:t>データヘルス計画全体の評価を行うために、個別保健事業の計画に基づいて実施された事業の実績等を振り返り、計画の目的、目標の達成状況、指標の在り方について、データ分析等をもとに、</w:t>
      </w:r>
      <w:r>
        <w:rPr>
          <w:rFonts w:ascii="ＭＳ ゴシック" w:eastAsia="ＭＳ ゴシック" w:hAnsi="ＭＳ ゴシック" w:cs="MS-Mincho" w:hint="eastAsia"/>
          <w:color w:val="000000" w:themeColor="text1"/>
          <w:kern w:val="0"/>
          <w:sz w:val="24"/>
        </w:rPr>
        <w:t>ストラクチャー評価（構造）、プロセス評価（過程）、アウトプット評価（事業実施量）、アウトカム評価（結果）の</w:t>
      </w:r>
      <w:r>
        <w:rPr>
          <w:rFonts w:ascii="ＭＳ ゴシック" w:eastAsia="ＭＳ ゴシック" w:hAnsi="ＭＳ ゴシック" w:hint="eastAsia"/>
          <w:color w:val="000000" w:themeColor="text1"/>
          <w:kern w:val="0"/>
          <w:sz w:val="24"/>
        </w:rPr>
        <w:t>４</w:t>
      </w:r>
      <w:r>
        <w:rPr>
          <w:rFonts w:ascii="ＭＳ ゴシック" w:eastAsia="ＭＳ ゴシック" w:hAnsi="ＭＳ ゴシック" w:cs="MS-Mincho" w:hint="eastAsia"/>
          <w:color w:val="000000" w:themeColor="text1"/>
          <w:kern w:val="0"/>
          <w:sz w:val="24"/>
        </w:rPr>
        <w:t>つの観点で評価を実施します。</w:t>
      </w:r>
    </w:p>
    <w:p>
      <w:pPr>
        <w:autoSpaceDE w:val="0"/>
        <w:autoSpaceDN w:val="0"/>
        <w:adjustRightInd w:val="0"/>
        <w:ind w:leftChars="100" w:left="210" w:firstLineChars="100" w:firstLine="240"/>
        <w:jc w:val="left"/>
        <w:rPr>
          <w:rFonts w:ascii="ＭＳ ゴシック" w:eastAsia="ＭＳ ゴシック" w:hAnsi="ＭＳ ゴシック"/>
          <w:color w:val="000000" w:themeColor="text1"/>
          <w:kern w:val="0"/>
          <w:sz w:val="24"/>
        </w:rPr>
      </w:pPr>
      <w:r>
        <w:rPr>
          <w:rFonts w:ascii="ＭＳ ゴシック" w:eastAsia="ＭＳ ゴシック" w:hAnsi="ＭＳ ゴシック" w:hint="eastAsia"/>
          <w:color w:val="000000" w:themeColor="text1"/>
          <w:kern w:val="0"/>
          <w:sz w:val="24"/>
        </w:rPr>
        <w:t>評価は、ＫＤＢシステム及び政府統計の総合窓口（ｅ－Ｓｔａｔ）を活用し、可能な限り数値を用いて行います。</w:t>
      </w:r>
    </w:p>
    <w:p>
      <w:pPr>
        <w:ind w:leftChars="100" w:left="210" w:firstLineChars="122" w:firstLine="293"/>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保険運営の健全化の観点から、鶴ヶ島市国民健康保険運営協議会へ報告し、埼玉県</w:t>
      </w:r>
      <w:r>
        <w:rPr>
          <w:rFonts w:asciiTheme="majorEastAsia" w:eastAsiaTheme="majorEastAsia" w:hAnsiTheme="majorEastAsia" w:hint="eastAsia"/>
          <w:color w:val="000000" w:themeColor="text1"/>
          <w:sz w:val="24"/>
          <w:lang w:eastAsia="zh-TW"/>
        </w:rPr>
        <w:t>国民健康保険団体連合会</w:t>
      </w:r>
      <w:r>
        <w:rPr>
          <w:rFonts w:asciiTheme="majorEastAsia" w:eastAsiaTheme="majorEastAsia" w:hAnsiTheme="majorEastAsia" w:hint="eastAsia"/>
          <w:color w:val="000000" w:themeColor="text1"/>
          <w:sz w:val="24"/>
        </w:rPr>
        <w:t>の</w:t>
      </w:r>
      <w:r>
        <w:rPr>
          <w:rFonts w:ascii="ＭＳ ゴシック" w:eastAsia="ＭＳ ゴシック" w:hAnsi="ＭＳ ゴシック" w:hint="eastAsia"/>
          <w:color w:val="000000" w:themeColor="text1"/>
          <w:sz w:val="24"/>
          <w:szCs w:val="24"/>
        </w:rPr>
        <w:t>支援を</w:t>
      </w:r>
      <w:r>
        <w:rPr>
          <w:rFonts w:ascii="ＭＳ ゴシック" w:eastAsia="ＭＳ ゴシック" w:hAnsi="ＭＳ ゴシック"/>
          <w:color w:val="000000" w:themeColor="text1"/>
          <w:sz w:val="24"/>
          <w:szCs w:val="24"/>
        </w:rPr>
        <w:t>受け</w:t>
      </w:r>
      <w:r>
        <w:rPr>
          <w:rFonts w:ascii="ＭＳ ゴシック" w:eastAsia="ＭＳ ゴシック" w:hAnsi="ＭＳ ゴシック" w:hint="eastAsia"/>
          <w:color w:val="000000" w:themeColor="text1"/>
          <w:sz w:val="24"/>
          <w:szCs w:val="24"/>
        </w:rPr>
        <w:t>る</w:t>
      </w:r>
      <w:r>
        <w:rPr>
          <w:rFonts w:ascii="ＭＳ ゴシック" w:eastAsia="ＭＳ ゴシック" w:hAnsi="ＭＳ ゴシック"/>
          <w:color w:val="000000" w:themeColor="text1"/>
          <w:sz w:val="24"/>
          <w:szCs w:val="24"/>
        </w:rPr>
        <w:t>ものと</w:t>
      </w:r>
      <w:r>
        <w:rPr>
          <w:rFonts w:ascii="ＭＳ ゴシック" w:eastAsia="ＭＳ ゴシック" w:hAnsi="ＭＳ ゴシック" w:hint="eastAsia"/>
          <w:color w:val="000000" w:themeColor="text1"/>
          <w:sz w:val="24"/>
          <w:szCs w:val="24"/>
        </w:rPr>
        <w:t>します</w:t>
      </w:r>
      <w:r>
        <w:rPr>
          <w:rFonts w:ascii="ＭＳ ゴシック" w:eastAsia="ＭＳ ゴシック" w:hAnsi="ＭＳ ゴシック"/>
          <w:color w:val="000000" w:themeColor="text1"/>
          <w:sz w:val="24"/>
          <w:szCs w:val="24"/>
        </w:rPr>
        <w:t>。</w:t>
      </w:r>
    </w:p>
    <w:p>
      <w:pPr>
        <w:ind w:leftChars="100" w:left="210" w:firstLineChars="100" w:firstLine="240"/>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ＭＳ ゴシック" w:eastAsia="ＭＳ ゴシック" w:hAnsi="ＭＳ ゴシック"/>
          <w:b/>
          <w:color w:val="000000" w:themeColor="text1"/>
          <w:sz w:val="24"/>
          <w:szCs w:val="24"/>
        </w:rPr>
      </w:pPr>
      <w:r>
        <w:rPr>
          <w:rFonts w:ascii="ＭＳ ゴシック" w:eastAsia="ＭＳ ゴシック" w:hAnsi="ＭＳ ゴシック"/>
          <w:b/>
          <w:color w:val="000000" w:themeColor="text1"/>
          <w:sz w:val="24"/>
          <w:szCs w:val="24"/>
        </w:rPr>
        <w:lastRenderedPageBreak/>
        <w:t xml:space="preserve">３　</w:t>
      </w:r>
      <w:r>
        <w:rPr>
          <w:rFonts w:ascii="ＭＳ ゴシック" w:eastAsia="ＭＳ ゴシック" w:hAnsi="ＭＳ ゴシック" w:hint="eastAsia"/>
          <w:b/>
          <w:color w:val="000000" w:themeColor="text1"/>
          <w:sz w:val="24"/>
          <w:szCs w:val="24"/>
        </w:rPr>
        <w:t>データヘルス計画の</w:t>
      </w:r>
      <w:r>
        <w:rPr>
          <w:rFonts w:ascii="ＭＳ ゴシック" w:eastAsia="ＭＳ ゴシック" w:hAnsi="ＭＳ ゴシック"/>
          <w:b/>
          <w:color w:val="000000" w:themeColor="text1"/>
          <w:sz w:val="24"/>
          <w:szCs w:val="24"/>
        </w:rPr>
        <w:t>概要</w:t>
      </w:r>
    </w:p>
    <w:p>
      <w:pPr>
        <w:ind w:leftChars="100" w:left="210" w:firstLineChars="228" w:firstLine="547"/>
        <w:rPr>
          <w:rFonts w:ascii="ＭＳ ゴシック" w:eastAsia="ＭＳ ゴシック" w:hAnsi="ＭＳ ゴシック"/>
          <w:bCs/>
          <w:color w:val="000000" w:themeColor="text1"/>
          <w:sz w:val="24"/>
          <w:szCs w:val="24"/>
          <w:lang w:val="ja-JP"/>
        </w:rPr>
      </w:pPr>
      <w:r>
        <w:rPr>
          <w:rFonts w:ascii="ＭＳ ゴシック" w:eastAsia="ＭＳ ゴシック" w:hAnsi="ＭＳ ゴシック" w:hint="eastAsia"/>
          <w:bCs/>
          <w:color w:val="000000" w:themeColor="text1"/>
          <w:sz w:val="24"/>
          <w:szCs w:val="24"/>
          <w:lang w:val="ja-JP"/>
        </w:rPr>
        <w:t>計画に基づき、</w:t>
      </w:r>
      <w:r>
        <w:rPr>
          <w:rFonts w:ascii="ＭＳ ゴシック" w:eastAsia="ＭＳ ゴシック" w:hAnsi="ＭＳ ゴシック"/>
          <w:bCs/>
          <w:color w:val="000000" w:themeColor="text1"/>
          <w:sz w:val="24"/>
          <w:szCs w:val="24"/>
          <w:lang w:val="ja-JP"/>
        </w:rPr>
        <w:t>以下</w:t>
      </w:r>
      <w:r>
        <w:rPr>
          <w:rFonts w:ascii="ＭＳ ゴシック" w:eastAsia="ＭＳ ゴシック" w:hAnsi="ＭＳ ゴシック" w:hint="eastAsia"/>
          <w:bCs/>
          <w:color w:val="000000" w:themeColor="text1"/>
          <w:sz w:val="24"/>
          <w:szCs w:val="24"/>
          <w:lang w:val="ja-JP"/>
        </w:rPr>
        <w:t>の</w:t>
      </w:r>
      <w:r>
        <w:rPr>
          <w:rFonts w:ascii="ＭＳ ゴシック" w:eastAsia="ＭＳ ゴシック" w:hAnsi="ＭＳ ゴシック"/>
          <w:bCs/>
          <w:color w:val="000000" w:themeColor="text1"/>
          <w:sz w:val="24"/>
          <w:szCs w:val="24"/>
          <w:lang w:val="ja-JP"/>
        </w:rPr>
        <w:t>事業を実施し</w:t>
      </w:r>
      <w:r>
        <w:rPr>
          <w:rFonts w:ascii="ＭＳ ゴシック" w:eastAsia="ＭＳ ゴシック" w:hAnsi="ＭＳ ゴシック" w:hint="eastAsia"/>
          <w:bCs/>
          <w:color w:val="000000" w:themeColor="text1"/>
          <w:sz w:val="24"/>
          <w:szCs w:val="24"/>
          <w:lang w:val="ja-JP"/>
        </w:rPr>
        <w:t>ています</w:t>
      </w:r>
      <w:r>
        <w:rPr>
          <w:rFonts w:ascii="ＭＳ ゴシック" w:eastAsia="ＭＳ ゴシック" w:hAnsi="ＭＳ ゴシック"/>
          <w:bCs/>
          <w:color w:val="000000" w:themeColor="text1"/>
          <w:sz w:val="24"/>
          <w:szCs w:val="24"/>
          <w:lang w:val="ja-JP"/>
        </w:rPr>
        <w:t>。</w:t>
      </w:r>
    </w:p>
    <w:p>
      <w:pPr>
        <w:ind w:leftChars="100" w:left="210" w:firstLineChars="128" w:firstLine="307"/>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（１）特定健康診査受診率向上対策事業</w:t>
      </w:r>
    </w:p>
    <w:p>
      <w:pPr>
        <w:ind w:firstLineChars="300" w:firstLine="720"/>
        <w:rPr>
          <w:rFonts w:ascii="ＭＳ ゴシック" w:eastAsia="ＭＳ ゴシック" w:hAnsi="ＭＳ ゴシック" w:cs="ＭＳ Ｐゴシック"/>
          <w:color w:val="000000"/>
          <w:kern w:val="0"/>
          <w:sz w:val="24"/>
          <w:szCs w:val="24"/>
        </w:rPr>
      </w:pPr>
      <w:r>
        <w:rPr>
          <w:rFonts w:ascii="ＭＳ ゴシック" w:eastAsia="ＭＳ ゴシック" w:hAnsi="ＭＳ ゴシック" w:hint="eastAsia"/>
          <w:color w:val="000000" w:themeColor="text1"/>
          <w:sz w:val="24"/>
          <w:szCs w:val="24"/>
        </w:rPr>
        <w:t>目的</w:t>
      </w:r>
      <w:r>
        <w:rPr>
          <w:rFonts w:ascii="ＭＳ ゴシック" w:eastAsia="ＭＳ ゴシック" w:hAnsi="ＭＳ ゴシック"/>
          <w:color w:val="000000" w:themeColor="text1"/>
          <w:sz w:val="24"/>
          <w:szCs w:val="24"/>
        </w:rPr>
        <w:t>：</w:t>
      </w:r>
      <w:r>
        <w:rPr>
          <w:rFonts w:ascii="ＭＳ ゴシック" w:eastAsia="ＭＳ ゴシック" w:hAnsi="ＭＳ ゴシック" w:cs="ＭＳ Ｐゴシック" w:hint="eastAsia"/>
          <w:color w:val="000000"/>
          <w:kern w:val="0"/>
          <w:sz w:val="24"/>
          <w:szCs w:val="24"/>
        </w:rPr>
        <w:t>特定健康診査の受診率を向上させ、生活習慣病の発症や重症化を予防する</w:t>
      </w:r>
    </w:p>
    <w:tbl>
      <w:tblPr>
        <w:tblW w:w="8295" w:type="dxa"/>
        <w:tblInd w:w="666" w:type="dxa"/>
        <w:tblCellMar>
          <w:left w:w="99" w:type="dxa"/>
          <w:right w:w="99" w:type="dxa"/>
        </w:tblCellMar>
        <w:tblLook w:val="04A0" w:firstRow="1" w:lastRow="0" w:firstColumn="1" w:lastColumn="0" w:noHBand="0" w:noVBand="1"/>
      </w:tblPr>
      <w:tblGrid>
        <w:gridCol w:w="3990"/>
        <w:gridCol w:w="1522"/>
        <w:gridCol w:w="1391"/>
        <w:gridCol w:w="1392"/>
      </w:tblGrid>
      <w:tr>
        <w:trPr>
          <w:trHeight w:val="450"/>
        </w:trPr>
        <w:tc>
          <w:tcPr>
            <w:tcW w:w="3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widowControl/>
              <w:ind w:left="320" w:hangingChars="160" w:hanging="320"/>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実施内容</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平成30年度</w:t>
            </w:r>
          </w:p>
        </w:tc>
        <w:tc>
          <w:tcPr>
            <w:tcW w:w="1391"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令和元年度</w:t>
            </w:r>
          </w:p>
        </w:tc>
        <w:tc>
          <w:tcPr>
            <w:tcW w:w="139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20"/>
              </w:rPr>
            </w:pPr>
            <w:r>
              <w:rPr>
                <w:rFonts w:ascii="ＭＳ ゴシック" w:eastAsia="ＭＳ ゴシック" w:hAnsi="ＭＳ ゴシック" w:cs="ＭＳ Ｐゴシック" w:hint="eastAsia"/>
                <w:color w:val="000000"/>
                <w:kern w:val="0"/>
                <w:sz w:val="20"/>
                <w:szCs w:val="20"/>
              </w:rPr>
              <w:t>令和2年度</w:t>
            </w:r>
          </w:p>
        </w:tc>
      </w:tr>
      <w:tr>
        <w:trPr>
          <w:trHeight w:val="462"/>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60歳代の受診率向上</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p>
        </w:tc>
      </w:tr>
      <w:tr>
        <w:trPr>
          <w:trHeight w:val="462"/>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40・50歳代の受診率向上</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p>
        </w:tc>
      </w:tr>
      <w:tr>
        <w:trPr>
          <w:trHeight w:val="462"/>
        </w:trPr>
        <w:tc>
          <w:tcPr>
            <w:tcW w:w="3990" w:type="dxa"/>
            <w:tcBorders>
              <w:top w:val="nil"/>
              <w:left w:val="single" w:sz="4" w:space="0" w:color="auto"/>
              <w:bottom w:val="single" w:sz="4" w:space="0" w:color="auto"/>
              <w:right w:val="single" w:sz="4" w:space="0" w:color="auto"/>
            </w:tcBorders>
            <w:shd w:val="clear" w:color="auto" w:fill="auto"/>
            <w:vAlign w:val="center"/>
          </w:tcPr>
          <w:p>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w w:val="94"/>
                <w:kern w:val="0"/>
                <w:sz w:val="20"/>
                <w:szCs w:val="20"/>
                <w:fitText w:val="3600" w:id="-1847900160"/>
              </w:rPr>
              <w:t>受診者の特性に合わせた受診勧奨通知送</w:t>
            </w:r>
            <w:r>
              <w:rPr>
                <w:rFonts w:ascii="ＭＳ ゴシック" w:eastAsia="ＭＳ ゴシック" w:hAnsi="ＭＳ ゴシック" w:cs="ＭＳ Ｐゴシック" w:hint="eastAsia"/>
                <w:spacing w:val="18"/>
                <w:w w:val="94"/>
                <w:kern w:val="0"/>
                <w:sz w:val="20"/>
                <w:szCs w:val="20"/>
                <w:fitText w:val="3600" w:id="-1847900160"/>
              </w:rPr>
              <w:t>付</w:t>
            </w:r>
          </w:p>
        </w:tc>
        <w:tc>
          <w:tcPr>
            <w:tcW w:w="1522" w:type="dxa"/>
            <w:tcBorders>
              <w:top w:val="nil"/>
              <w:left w:val="nil"/>
              <w:bottom w:val="single" w:sz="4" w:space="0" w:color="auto"/>
              <w:right w:val="single" w:sz="4" w:space="0" w:color="auto"/>
            </w:tcBorders>
            <w:shd w:val="clear" w:color="auto" w:fill="auto"/>
          </w:tcPr>
          <w:p>
            <w:pPr>
              <w:widowControl/>
              <w:jc w:val="center"/>
              <w:rPr>
                <w:rFonts w:ascii="ＭＳ ゴシック" w:eastAsia="ＭＳ ゴシック" w:hAnsi="ＭＳ ゴシック" w:cs="ＭＳ Ｐゴシック"/>
                <w:kern w:val="0"/>
                <w:sz w:val="20"/>
                <w:szCs w:val="20"/>
              </w:rPr>
            </w:pPr>
          </w:p>
        </w:tc>
        <w:tc>
          <w:tcPr>
            <w:tcW w:w="1391" w:type="dxa"/>
            <w:tcBorders>
              <w:top w:val="nil"/>
              <w:left w:val="nil"/>
              <w:bottom w:val="single" w:sz="4" w:space="0" w:color="auto"/>
              <w:right w:val="single" w:sz="4" w:space="0" w:color="auto"/>
            </w:tcBorders>
            <w:shd w:val="clear" w:color="auto" w:fill="auto"/>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〇</w:t>
            </w:r>
          </w:p>
        </w:tc>
        <w:tc>
          <w:tcPr>
            <w:tcW w:w="1392" w:type="dxa"/>
            <w:tcBorders>
              <w:top w:val="nil"/>
              <w:left w:val="nil"/>
              <w:bottom w:val="single" w:sz="4" w:space="0" w:color="auto"/>
              <w:right w:val="single" w:sz="4" w:space="0" w:color="auto"/>
            </w:tcBorders>
            <w:shd w:val="clear" w:color="auto" w:fill="auto"/>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〇</w:t>
            </w:r>
          </w:p>
        </w:tc>
      </w:tr>
      <w:tr>
        <w:trPr>
          <w:trHeight w:val="462"/>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健診データの収集</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r>
      <w:tr>
        <w:trPr>
          <w:trHeight w:val="462"/>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受診勧奨・普及啓発</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20"/>
              </w:rPr>
            </w:pPr>
            <w:r>
              <w:rPr>
                <w:rFonts w:ascii="ＭＳ ゴシック" w:eastAsia="ＭＳ ゴシック" w:hAnsi="ＭＳ ゴシック" w:cs="ＭＳ Ｐゴシック" w:hint="eastAsia"/>
                <w:kern w:val="0"/>
                <w:sz w:val="20"/>
                <w:szCs w:val="20"/>
              </w:rPr>
              <w:t>○</w:t>
            </w:r>
          </w:p>
        </w:tc>
      </w:tr>
    </w:tbl>
    <w:p>
      <w:pPr>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（２）特定保健指導実施率向上対策事業</w:t>
      </w:r>
    </w:p>
    <w:p>
      <w:pPr>
        <w:ind w:firstLineChars="300" w:firstLine="7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目的：生活習慣病を改善することにより、特定保健指導</w:t>
      </w:r>
      <w:r>
        <w:rPr>
          <w:rFonts w:ascii="ＭＳ ゴシック" w:eastAsia="ＭＳ ゴシック" w:hAnsi="ＭＳ ゴシック"/>
          <w:color w:val="000000" w:themeColor="text1"/>
          <w:sz w:val="24"/>
          <w:szCs w:val="24"/>
        </w:rPr>
        <w:t>の</w:t>
      </w:r>
      <w:r>
        <w:rPr>
          <w:rFonts w:ascii="ＭＳ ゴシック" w:eastAsia="ＭＳ ゴシック" w:hAnsi="ＭＳ ゴシック" w:hint="eastAsia"/>
          <w:color w:val="000000" w:themeColor="text1"/>
          <w:sz w:val="24"/>
          <w:szCs w:val="24"/>
        </w:rPr>
        <w:t>対象者を減らす</w:t>
      </w:r>
    </w:p>
    <w:tbl>
      <w:tblPr>
        <w:tblW w:w="8295" w:type="dxa"/>
        <w:tblInd w:w="666" w:type="dxa"/>
        <w:tblCellMar>
          <w:left w:w="99" w:type="dxa"/>
          <w:right w:w="99" w:type="dxa"/>
        </w:tblCellMar>
        <w:tblLook w:val="04A0" w:firstRow="1" w:lastRow="0" w:firstColumn="1" w:lastColumn="0" w:noHBand="0" w:noVBand="1"/>
      </w:tblPr>
      <w:tblGrid>
        <w:gridCol w:w="3990"/>
        <w:gridCol w:w="1522"/>
        <w:gridCol w:w="1391"/>
        <w:gridCol w:w="1392"/>
      </w:tblGrid>
      <w:tr>
        <w:trPr>
          <w:trHeight w:val="450"/>
        </w:trPr>
        <w:tc>
          <w:tcPr>
            <w:tcW w:w="3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実施内容</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平成30年度</w:t>
            </w:r>
          </w:p>
        </w:tc>
        <w:tc>
          <w:tcPr>
            <w:tcW w:w="1391"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令和元年度</w:t>
            </w:r>
          </w:p>
        </w:tc>
        <w:tc>
          <w:tcPr>
            <w:tcW w:w="139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令和2年度</w:t>
            </w:r>
          </w:p>
        </w:tc>
      </w:tr>
      <w:tr>
        <w:trPr>
          <w:trHeight w:val="405"/>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利用勧奨</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05"/>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対象者を限定した健康教育・健康相談</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05"/>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保健指導の充実</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05"/>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委託医療機関の拡充</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bl>
    <w:p>
      <w:pPr>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（３）生活習慣病重症化予防対策事業</w:t>
      </w:r>
    </w:p>
    <w:p>
      <w:pPr>
        <w:ind w:firstLineChars="300" w:firstLine="7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目的</w:t>
      </w:r>
      <w:r>
        <w:rPr>
          <w:rFonts w:ascii="ＭＳ ゴシック" w:eastAsia="ＭＳ ゴシック" w:hAnsi="ＭＳ ゴシック"/>
          <w:color w:val="000000" w:themeColor="text1"/>
          <w:sz w:val="24"/>
          <w:szCs w:val="24"/>
        </w:rPr>
        <w:t>：</w:t>
      </w:r>
      <w:r>
        <w:rPr>
          <w:rFonts w:ascii="ＭＳ ゴシック" w:eastAsia="ＭＳ ゴシック" w:hAnsi="ＭＳ ゴシック" w:hint="eastAsia"/>
          <w:color w:val="000000" w:themeColor="text1"/>
          <w:sz w:val="24"/>
          <w:szCs w:val="24"/>
        </w:rPr>
        <w:t>糖尿病性腎症の重症化</w:t>
      </w:r>
      <w:r>
        <w:rPr>
          <w:rFonts w:ascii="ＭＳ ゴシック" w:eastAsia="ＭＳ ゴシック" w:hAnsi="ＭＳ ゴシック"/>
          <w:color w:val="000000" w:themeColor="text1"/>
          <w:sz w:val="24"/>
          <w:szCs w:val="24"/>
        </w:rPr>
        <w:t>を予防することにより、人工透析</w:t>
      </w:r>
      <w:r>
        <w:rPr>
          <w:rFonts w:ascii="ＭＳ ゴシック" w:eastAsia="ＭＳ ゴシック" w:hAnsi="ＭＳ ゴシック" w:hint="eastAsia"/>
          <w:color w:val="000000" w:themeColor="text1"/>
          <w:sz w:val="24"/>
          <w:szCs w:val="24"/>
        </w:rPr>
        <w:t>へ</w:t>
      </w:r>
      <w:r>
        <w:rPr>
          <w:rFonts w:ascii="ＭＳ ゴシック" w:eastAsia="ＭＳ ゴシック" w:hAnsi="ＭＳ ゴシック"/>
          <w:color w:val="000000" w:themeColor="text1"/>
          <w:sz w:val="24"/>
          <w:szCs w:val="24"/>
        </w:rPr>
        <w:t>の</w:t>
      </w:r>
      <w:r>
        <w:rPr>
          <w:rFonts w:ascii="ＭＳ ゴシック" w:eastAsia="ＭＳ ゴシック" w:hAnsi="ＭＳ ゴシック" w:hint="eastAsia"/>
          <w:color w:val="000000" w:themeColor="text1"/>
          <w:sz w:val="24"/>
          <w:szCs w:val="24"/>
        </w:rPr>
        <w:t>移行を防止する</w:t>
      </w:r>
    </w:p>
    <w:tbl>
      <w:tblPr>
        <w:tblW w:w="8295" w:type="dxa"/>
        <w:tblInd w:w="666" w:type="dxa"/>
        <w:tblCellMar>
          <w:left w:w="99" w:type="dxa"/>
          <w:right w:w="99" w:type="dxa"/>
        </w:tblCellMar>
        <w:tblLook w:val="04A0" w:firstRow="1" w:lastRow="0" w:firstColumn="1" w:lastColumn="0" w:noHBand="0" w:noVBand="1"/>
      </w:tblPr>
      <w:tblGrid>
        <w:gridCol w:w="3990"/>
        <w:gridCol w:w="1522"/>
        <w:gridCol w:w="1391"/>
        <w:gridCol w:w="1392"/>
      </w:tblGrid>
      <w:tr>
        <w:trPr>
          <w:trHeight w:val="450"/>
        </w:trPr>
        <w:tc>
          <w:tcPr>
            <w:tcW w:w="3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実施内容</w:t>
            </w:r>
          </w:p>
        </w:tc>
        <w:tc>
          <w:tcPr>
            <w:tcW w:w="152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平成30年度</w:t>
            </w:r>
          </w:p>
        </w:tc>
        <w:tc>
          <w:tcPr>
            <w:tcW w:w="1391"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令和元年度</w:t>
            </w:r>
          </w:p>
        </w:tc>
        <w:tc>
          <w:tcPr>
            <w:tcW w:w="1392"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令和2年度</w:t>
            </w:r>
          </w:p>
        </w:tc>
      </w:tr>
      <w:tr>
        <w:trPr>
          <w:trHeight w:val="474"/>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糖尿病治療受診勧奨</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r>
      <w:tr>
        <w:trPr>
          <w:trHeight w:val="424"/>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糖尿病性腎症重症化予防保健指導</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r>
      <w:tr>
        <w:trPr>
          <w:trHeight w:val="417"/>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bookmarkStart w:id="1" w:name="_Hlk59107411"/>
            <w:r>
              <w:rPr>
                <w:rFonts w:ascii="ＭＳ ゴシック" w:eastAsia="ＭＳ ゴシック" w:hAnsi="ＭＳ ゴシック" w:cs="ＭＳ Ｐゴシック" w:hint="eastAsia"/>
                <w:kern w:val="0"/>
                <w:sz w:val="20"/>
                <w:szCs w:val="18"/>
              </w:rPr>
              <w:t>保健指導実施後の継続支援</w:t>
            </w:r>
          </w:p>
        </w:tc>
        <w:tc>
          <w:tcPr>
            <w:tcW w:w="152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1"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c>
          <w:tcPr>
            <w:tcW w:w="1392"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20"/>
              </w:rPr>
              <w:t>○</w:t>
            </w:r>
          </w:p>
        </w:tc>
      </w:tr>
      <w:bookmarkEnd w:id="1"/>
    </w:tbl>
    <w:p>
      <w:pPr>
        <w:rPr>
          <w:rFonts w:ascii="ＭＳ ゴシック" w:eastAsia="ＭＳ ゴシック" w:hAnsi="ＭＳ ゴシック"/>
          <w:sz w:val="24"/>
          <w:szCs w:val="24"/>
        </w:rPr>
      </w:pPr>
    </w:p>
    <w:p>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（４）循環器疾患、が</w:t>
      </w:r>
      <w:r>
        <w:rPr>
          <w:rFonts w:ascii="ＭＳ ゴシック" w:eastAsia="ＭＳ ゴシック" w:hAnsi="ＭＳ ゴシック" w:hint="eastAsia"/>
          <w:color w:val="000000" w:themeColor="text1"/>
          <w:sz w:val="24"/>
          <w:szCs w:val="24"/>
        </w:rPr>
        <w:t>ん予防対策事業</w:t>
      </w:r>
    </w:p>
    <w:p>
      <w:pPr>
        <w:ind w:leftChars="300" w:left="630" w:firstLineChars="50" w:firstLine="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目的：血圧、血糖、血中脂質高値者への受診勧奨及び生活習慣の改善をすることに</w:t>
      </w:r>
    </w:p>
    <w:p>
      <w:pPr>
        <w:ind w:leftChars="300" w:left="630" w:firstLineChars="50" w:firstLine="12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より重症化を予防する</w:t>
      </w:r>
    </w:p>
    <w:tbl>
      <w:tblPr>
        <w:tblW w:w="8295" w:type="dxa"/>
        <w:tblInd w:w="666" w:type="dxa"/>
        <w:tblCellMar>
          <w:left w:w="99" w:type="dxa"/>
          <w:right w:w="99" w:type="dxa"/>
        </w:tblCellMar>
        <w:tblLook w:val="04A0" w:firstRow="1" w:lastRow="0" w:firstColumn="1" w:lastColumn="0" w:noHBand="0" w:noVBand="1"/>
      </w:tblPr>
      <w:tblGrid>
        <w:gridCol w:w="3990"/>
        <w:gridCol w:w="1575"/>
        <w:gridCol w:w="1365"/>
        <w:gridCol w:w="1365"/>
      </w:tblGrid>
      <w:tr>
        <w:trPr>
          <w:trHeight w:val="450"/>
        </w:trPr>
        <w:tc>
          <w:tcPr>
            <w:tcW w:w="3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実施内容</w:t>
            </w:r>
          </w:p>
        </w:tc>
        <w:tc>
          <w:tcPr>
            <w:tcW w:w="157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平成30年度</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令和元年度</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令和2年度</w:t>
            </w:r>
          </w:p>
        </w:tc>
      </w:tr>
      <w:tr>
        <w:trPr>
          <w:trHeight w:val="450"/>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受診勧奨・健康相談</w:t>
            </w:r>
          </w:p>
        </w:tc>
        <w:tc>
          <w:tcPr>
            <w:tcW w:w="1575" w:type="dxa"/>
            <w:tcBorders>
              <w:top w:val="nil"/>
              <w:left w:val="nil"/>
              <w:bottom w:val="single" w:sz="4" w:space="0" w:color="auto"/>
              <w:right w:val="single" w:sz="4" w:space="0" w:color="auto"/>
            </w:tcBorders>
            <w:shd w:val="clear" w:color="auto" w:fill="auto"/>
          </w:tcPr>
          <w:p>
            <w:pPr>
              <w:widowControl/>
              <w:jc w:val="center"/>
              <w:rPr>
                <w:rFonts w:ascii="ＭＳ ゴシック" w:eastAsia="ＭＳ ゴシック" w:hAnsi="ＭＳ ゴシック" w:cs="ＭＳ Ｐゴシック"/>
                <w:color w:val="000000"/>
                <w:kern w:val="0"/>
                <w:sz w:val="20"/>
                <w:szCs w:val="18"/>
              </w:rPr>
            </w:pPr>
          </w:p>
        </w:tc>
        <w:tc>
          <w:tcPr>
            <w:tcW w:w="1365" w:type="dxa"/>
            <w:tcBorders>
              <w:top w:val="nil"/>
              <w:left w:val="nil"/>
              <w:bottom w:val="single" w:sz="4" w:space="0" w:color="auto"/>
              <w:right w:val="single" w:sz="4" w:space="0" w:color="auto"/>
            </w:tcBorders>
            <w:shd w:val="clear" w:color="auto" w:fill="auto"/>
          </w:tcPr>
          <w:p>
            <w:pPr>
              <w:widowControl/>
              <w:jc w:val="center"/>
              <w:rPr>
                <w:rFonts w:ascii="ＭＳ ゴシック" w:eastAsia="ＭＳ ゴシック" w:hAnsi="ＭＳ ゴシック" w:cs="ＭＳ Ｐゴシック"/>
                <w:color w:val="000000"/>
                <w:kern w:val="0"/>
                <w:sz w:val="20"/>
                <w:szCs w:val="18"/>
              </w:rPr>
            </w:pP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50"/>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がん検診精密検査受診勧奨</w:t>
            </w:r>
          </w:p>
        </w:tc>
        <w:tc>
          <w:tcPr>
            <w:tcW w:w="157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50"/>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がん検診受診勧奨</w:t>
            </w:r>
          </w:p>
        </w:tc>
        <w:tc>
          <w:tcPr>
            <w:tcW w:w="157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50"/>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bookmarkStart w:id="2" w:name="_Hlk59108234"/>
            <w:r>
              <w:rPr>
                <w:rFonts w:ascii="ＭＳ ゴシック" w:eastAsia="ＭＳ ゴシック" w:hAnsi="ＭＳ ゴシック" w:cs="ＭＳ Ｐゴシック" w:hint="eastAsia"/>
                <w:kern w:val="0"/>
                <w:sz w:val="20"/>
                <w:szCs w:val="18"/>
              </w:rPr>
              <w:t>人間ドック・脳ドック受検率向上</w:t>
            </w:r>
          </w:p>
        </w:tc>
        <w:tc>
          <w:tcPr>
            <w:tcW w:w="157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bookmarkEnd w:id="2"/>
    </w:tbl>
    <w:p>
      <w:pPr>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（５）医療費適正化事業</w:t>
      </w:r>
    </w:p>
    <w:p>
      <w:pPr>
        <w:ind w:leftChars="350" w:left="735"/>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目的</w:t>
      </w:r>
      <w:r>
        <w:rPr>
          <w:rFonts w:ascii="ＭＳ ゴシック" w:eastAsia="ＭＳ ゴシック" w:hAnsi="ＭＳ ゴシック"/>
          <w:color w:val="000000" w:themeColor="text1"/>
          <w:sz w:val="24"/>
          <w:szCs w:val="24"/>
        </w:rPr>
        <w:t>：</w:t>
      </w:r>
      <w:r>
        <w:rPr>
          <w:rFonts w:ascii="ＭＳ ゴシック" w:eastAsia="ＭＳ ゴシック" w:hAnsi="ＭＳ ゴシック" w:hint="eastAsia"/>
          <w:color w:val="000000" w:themeColor="text1"/>
          <w:sz w:val="24"/>
          <w:szCs w:val="24"/>
        </w:rPr>
        <w:t>ジェネリック</w:t>
      </w:r>
      <w:r>
        <w:rPr>
          <w:rFonts w:ascii="ＭＳ ゴシック" w:eastAsia="ＭＳ ゴシック" w:hAnsi="ＭＳ ゴシック"/>
          <w:color w:val="000000" w:themeColor="text1"/>
          <w:sz w:val="24"/>
          <w:szCs w:val="24"/>
        </w:rPr>
        <w:t>医薬品の</w:t>
      </w:r>
      <w:r>
        <w:rPr>
          <w:rFonts w:ascii="ＭＳ ゴシック" w:eastAsia="ＭＳ ゴシック" w:hAnsi="ＭＳ ゴシック" w:hint="eastAsia"/>
          <w:color w:val="000000" w:themeColor="text1"/>
          <w:sz w:val="24"/>
          <w:szCs w:val="24"/>
        </w:rPr>
        <w:t>普及啓発を図るとともに、同一疾患で重複・頻回受診者、重複服薬者に適正な受診を指導する</w:t>
      </w:r>
    </w:p>
    <w:tbl>
      <w:tblPr>
        <w:tblW w:w="8295" w:type="dxa"/>
        <w:tblInd w:w="666" w:type="dxa"/>
        <w:tblCellMar>
          <w:left w:w="99" w:type="dxa"/>
          <w:right w:w="99" w:type="dxa"/>
        </w:tblCellMar>
        <w:tblLook w:val="04A0" w:firstRow="1" w:lastRow="0" w:firstColumn="1" w:lastColumn="0" w:noHBand="0" w:noVBand="1"/>
      </w:tblPr>
      <w:tblGrid>
        <w:gridCol w:w="3990"/>
        <w:gridCol w:w="1575"/>
        <w:gridCol w:w="1365"/>
        <w:gridCol w:w="1365"/>
      </w:tblGrid>
      <w:tr>
        <w:trPr>
          <w:trHeight w:val="450"/>
        </w:trPr>
        <w:tc>
          <w:tcPr>
            <w:tcW w:w="3990" w:type="dxa"/>
            <w:tcBorders>
              <w:top w:val="single" w:sz="4" w:space="0" w:color="auto"/>
              <w:left w:val="single" w:sz="4" w:space="0" w:color="auto"/>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実施内容</w:t>
            </w:r>
          </w:p>
        </w:tc>
        <w:tc>
          <w:tcPr>
            <w:tcW w:w="157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平成30年度</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令和元年度</w:t>
            </w:r>
          </w:p>
        </w:tc>
        <w:tc>
          <w:tcPr>
            <w:tcW w:w="1365" w:type="dxa"/>
            <w:tcBorders>
              <w:top w:val="single" w:sz="4" w:space="0" w:color="auto"/>
              <w:left w:val="nil"/>
              <w:bottom w:val="single" w:sz="4" w:space="0" w:color="auto"/>
              <w:right w:val="single" w:sz="4" w:space="0" w:color="auto"/>
            </w:tcBorders>
            <w:shd w:val="clear" w:color="000000" w:fill="D9D9D9"/>
            <w:vAlign w:val="center"/>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18"/>
              </w:rPr>
              <w:t>令和2年度</w:t>
            </w:r>
          </w:p>
        </w:tc>
      </w:tr>
      <w:tr>
        <w:trPr>
          <w:trHeight w:val="434"/>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普及啓発</w:t>
            </w:r>
          </w:p>
        </w:tc>
        <w:tc>
          <w:tcPr>
            <w:tcW w:w="157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r>
        <w:trPr>
          <w:trHeight w:val="450"/>
        </w:trPr>
        <w:tc>
          <w:tcPr>
            <w:tcW w:w="3990" w:type="dxa"/>
            <w:tcBorders>
              <w:top w:val="nil"/>
              <w:left w:val="single" w:sz="4" w:space="0" w:color="auto"/>
              <w:bottom w:val="single" w:sz="4" w:space="0" w:color="auto"/>
              <w:right w:val="single" w:sz="4" w:space="0" w:color="auto"/>
            </w:tcBorders>
            <w:shd w:val="clear" w:color="auto" w:fill="auto"/>
            <w:vAlign w:val="center"/>
            <w:hideMark/>
          </w:tcPr>
          <w:p>
            <w:pPr>
              <w:widowControl/>
              <w:jc w:val="left"/>
              <w:rPr>
                <w:rFonts w:ascii="ＭＳ ゴシック" w:eastAsia="ＭＳ ゴシック" w:hAnsi="ＭＳ ゴシック" w:cs="ＭＳ Ｐゴシック"/>
                <w:kern w:val="0"/>
                <w:sz w:val="20"/>
                <w:szCs w:val="18"/>
              </w:rPr>
            </w:pPr>
            <w:r>
              <w:rPr>
                <w:rFonts w:ascii="ＭＳ ゴシック" w:eastAsia="ＭＳ ゴシック" w:hAnsi="ＭＳ ゴシック" w:cs="ＭＳ Ｐゴシック" w:hint="eastAsia"/>
                <w:kern w:val="0"/>
                <w:sz w:val="20"/>
                <w:szCs w:val="18"/>
              </w:rPr>
              <w:t>重複・頻回受診、重複服薬の減少</w:t>
            </w:r>
          </w:p>
        </w:tc>
        <w:tc>
          <w:tcPr>
            <w:tcW w:w="157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c>
          <w:tcPr>
            <w:tcW w:w="1365" w:type="dxa"/>
            <w:tcBorders>
              <w:top w:val="nil"/>
              <w:left w:val="nil"/>
              <w:bottom w:val="single" w:sz="4" w:space="0" w:color="auto"/>
              <w:right w:val="single" w:sz="4" w:space="0" w:color="auto"/>
            </w:tcBorders>
            <w:shd w:val="clear" w:color="auto" w:fill="auto"/>
            <w:hideMark/>
          </w:tcPr>
          <w:p>
            <w:pPr>
              <w:widowControl/>
              <w:jc w:val="center"/>
              <w:rPr>
                <w:rFonts w:ascii="ＭＳ ゴシック" w:eastAsia="ＭＳ ゴシック" w:hAnsi="ＭＳ ゴシック" w:cs="ＭＳ Ｐゴシック"/>
                <w:color w:val="000000"/>
                <w:kern w:val="0"/>
                <w:sz w:val="20"/>
                <w:szCs w:val="18"/>
              </w:rPr>
            </w:pPr>
            <w:r>
              <w:rPr>
                <w:rFonts w:ascii="ＭＳ ゴシック" w:eastAsia="ＭＳ ゴシック" w:hAnsi="ＭＳ ゴシック" w:cs="ＭＳ Ｐゴシック" w:hint="eastAsia"/>
                <w:color w:val="000000"/>
                <w:kern w:val="0"/>
                <w:sz w:val="20"/>
                <w:szCs w:val="20"/>
              </w:rPr>
              <w:t>○</w:t>
            </w:r>
          </w:p>
        </w:tc>
      </w:tr>
    </w:tbl>
    <w:p>
      <w:pPr>
        <w:ind w:leftChars="100" w:left="210" w:firstLineChars="100" w:firstLine="240"/>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p>
    <w:p>
      <w:pPr>
        <w:rPr>
          <w:rFonts w:ascii="ＭＳ ゴシック" w:eastAsia="ＭＳ ゴシック" w:hAnsi="ＭＳ ゴシック"/>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ＭＳ ゴシック" w:eastAsia="ＭＳ ゴシック" w:hAnsi="ＭＳ ゴシック"/>
          <w:b/>
          <w:color w:val="000000" w:themeColor="text1"/>
          <w:sz w:val="24"/>
          <w:szCs w:val="24"/>
        </w:rPr>
      </w:pPr>
    </w:p>
    <w:p>
      <w:pPr>
        <w:jc w:val="left"/>
        <w:rPr>
          <w:rFonts w:asciiTheme="majorEastAsia" w:eastAsiaTheme="majorEastAsia" w:hAnsiTheme="majorEastAsia" w:cs="Meiryo UI"/>
          <w:b/>
          <w:color w:val="000000" w:themeColor="text1"/>
          <w:sz w:val="24"/>
          <w:szCs w:val="24"/>
        </w:rPr>
      </w:pPr>
      <w:r>
        <w:rPr>
          <w:rFonts w:ascii="ＭＳ ゴシック" w:eastAsia="ＭＳ ゴシック" w:hAnsi="ＭＳ ゴシック" w:hint="eastAsia"/>
          <w:b/>
          <w:color w:val="000000" w:themeColor="text1"/>
          <w:sz w:val="24"/>
          <w:szCs w:val="24"/>
        </w:rPr>
        <w:lastRenderedPageBreak/>
        <w:t>４</w:t>
      </w:r>
      <w:r>
        <w:rPr>
          <w:rFonts w:ascii="ＭＳ ゴシック" w:eastAsia="ＭＳ ゴシック" w:hAnsi="ＭＳ ゴシック"/>
          <w:b/>
          <w:color w:val="000000" w:themeColor="text1"/>
          <w:sz w:val="24"/>
          <w:szCs w:val="24"/>
        </w:rPr>
        <w:t xml:space="preserve">　</w:t>
      </w:r>
      <w:r>
        <w:rPr>
          <w:rFonts w:asciiTheme="majorEastAsia" w:eastAsiaTheme="majorEastAsia" w:hAnsiTheme="majorEastAsia" w:cs="Meiryo UI" w:hint="eastAsia"/>
          <w:b/>
          <w:color w:val="000000" w:themeColor="text1"/>
          <w:sz w:val="24"/>
          <w:szCs w:val="24"/>
        </w:rPr>
        <w:t>主な評価</w:t>
      </w:r>
      <w:r>
        <w:rPr>
          <w:rFonts w:asciiTheme="majorEastAsia" w:eastAsiaTheme="majorEastAsia" w:hAnsiTheme="majorEastAsia" w:cs="Meiryo UI"/>
          <w:b/>
          <w:color w:val="000000" w:themeColor="text1"/>
          <w:sz w:val="24"/>
          <w:szCs w:val="24"/>
        </w:rPr>
        <w:t>指標の</w:t>
      </w:r>
      <w:r>
        <w:rPr>
          <w:rFonts w:asciiTheme="majorEastAsia" w:eastAsiaTheme="majorEastAsia" w:hAnsiTheme="majorEastAsia" w:cs="Meiryo UI" w:hint="eastAsia"/>
          <w:b/>
          <w:color w:val="000000" w:themeColor="text1"/>
          <w:sz w:val="24"/>
          <w:szCs w:val="24"/>
        </w:rPr>
        <w:t>推移に基づく健康課題の把握</w:t>
      </w:r>
    </w:p>
    <w:p>
      <w:pPr>
        <w:ind w:firstLineChars="200" w:firstLine="480"/>
        <w:rPr>
          <w:rFonts w:ascii="ＭＳ ゴシック" w:eastAsia="ＭＳ ゴシック" w:hAnsi="ＭＳ ゴシック"/>
          <w:color w:val="FF0000"/>
          <w:sz w:val="24"/>
          <w:szCs w:val="24"/>
        </w:rPr>
      </w:pPr>
      <w:r>
        <w:rPr>
          <w:rFonts w:ascii="ＭＳ ゴシック" w:eastAsia="ＭＳ ゴシック" w:hAnsi="ＭＳ ゴシック" w:hint="eastAsia"/>
          <w:sz w:val="24"/>
          <w:szCs w:val="24"/>
        </w:rPr>
        <w:t xml:space="preserve">評価指標の関係図　</w:t>
      </w:r>
      <w:r>
        <w:rPr>
          <w:rFonts w:ascii="ＭＳ ゴシック" w:eastAsia="ＭＳ ゴシック" w:hAnsi="ＭＳ ゴシック" w:hint="eastAsia"/>
          <w:color w:val="FF0000"/>
          <w:sz w:val="24"/>
          <w:szCs w:val="24"/>
        </w:rPr>
        <w:t xml:space="preserve">　　　　　　　　</w:t>
      </w:r>
    </w:p>
    <w:p>
      <w:pPr>
        <w:ind w:firstLineChars="200" w:firstLine="480"/>
        <w:rPr>
          <w:rFonts w:ascii="ＭＳ ゴシック" w:eastAsia="ＭＳ ゴシック" w:hAnsi="ＭＳ ゴシック"/>
          <w:color w:val="FF0000"/>
          <w:sz w:val="24"/>
          <w:szCs w:val="24"/>
        </w:rPr>
      </w:pPr>
    </w:p>
    <w:p>
      <w:pPr>
        <w:ind w:firstLineChars="200" w:firstLine="480"/>
        <w:jc w:val="center"/>
        <w:rPr>
          <w:rFonts w:ascii="ＭＳ ゴシック" w:eastAsia="ＭＳ ゴシック" w:hAnsi="ＭＳ ゴシック"/>
          <w:color w:val="FF0000"/>
          <w:sz w:val="24"/>
          <w:szCs w:val="24"/>
        </w:rPr>
      </w:pPr>
      <w:r>
        <w:rPr>
          <w:rFonts w:ascii="ＭＳ ゴシック" w:eastAsia="ＭＳ ゴシック" w:hAnsi="ＭＳ ゴシック"/>
          <w:noProof/>
          <w:color w:val="FF0000"/>
          <w:sz w:val="24"/>
          <w:szCs w:val="24"/>
        </w:rPr>
        <w:drawing>
          <wp:inline distT="0" distB="0" distL="0" distR="0">
            <wp:extent cx="5315374" cy="2965450"/>
            <wp:effectExtent l="0" t="0" r="0" b="6350"/>
            <wp:docPr id="261" name="図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097" cy="2971432"/>
                    </a:xfrm>
                    <a:prstGeom prst="rect">
                      <a:avLst/>
                    </a:prstGeom>
                    <a:noFill/>
                    <a:ln>
                      <a:noFill/>
                    </a:ln>
                  </pic:spPr>
                </pic:pic>
              </a:graphicData>
            </a:graphic>
          </wp:inline>
        </w:drawing>
      </w:r>
    </w:p>
    <w:p>
      <w:pPr>
        <w:ind w:leftChars="270" w:left="567" w:firstLineChars="67" w:firstLine="141"/>
        <w:rPr>
          <w:rFonts w:ascii="ＭＳ ゴシック" w:eastAsia="ＭＳ ゴシック" w:hAnsi="ＭＳ ゴシック"/>
          <w:color w:val="FF0000"/>
        </w:rPr>
      </w:pPr>
    </w:p>
    <w:p>
      <w:pPr>
        <w:rPr>
          <w:rFonts w:ascii="ＭＳ ゴシック" w:eastAsia="ＭＳ ゴシック" w:hAnsi="ＭＳ ゴシック"/>
          <w:color w:val="FF0000"/>
        </w:rPr>
      </w:pPr>
      <w:r>
        <w:rPr>
          <w:rFonts w:ascii="ＭＳ ゴシック" w:eastAsia="ＭＳ ゴシック" w:hAnsi="ＭＳ ゴシック"/>
          <w:noProof/>
          <w:color w:val="FF0000"/>
        </w:rPr>
        <mc:AlternateContent>
          <mc:Choice Requires="wps">
            <w:drawing>
              <wp:anchor distT="0" distB="0" distL="114300" distR="114300" simplePos="0" relativeHeight="251667968" behindDoc="0" locked="0" layoutInCell="1" allowOverlap="1">
                <wp:simplePos x="0" y="0"/>
                <wp:positionH relativeFrom="column">
                  <wp:posOffset>3514725</wp:posOffset>
                </wp:positionH>
                <wp:positionV relativeFrom="paragraph">
                  <wp:posOffset>149860</wp:posOffset>
                </wp:positionV>
                <wp:extent cx="2680335" cy="228600"/>
                <wp:effectExtent l="0" t="0" r="5715" b="0"/>
                <wp:wrapNone/>
                <wp:docPr id="271"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03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rPr>
                                <w:rFonts w:asciiTheme="majorEastAsia" w:eastAsiaTheme="majorEastAsia" w:hAnsiTheme="majorEastAsia"/>
                                <w:sz w:val="20"/>
                              </w:rPr>
                            </w:pPr>
                            <w:r>
                              <w:rPr>
                                <w:rFonts w:asciiTheme="majorEastAsia" w:eastAsiaTheme="majorEastAsia" w:hAnsiTheme="majorEastAsia" w:hint="eastAsia"/>
                                <w:sz w:val="20"/>
                              </w:rPr>
                              <w:t>出典：国立保健医療科学院</w:t>
                            </w:r>
                            <w:r>
                              <w:rPr>
                                <w:rFonts w:asciiTheme="majorEastAsia" w:eastAsiaTheme="majorEastAsia" w:hAnsiTheme="majorEastAsia"/>
                                <w:sz w:val="20"/>
                              </w:rPr>
                              <w:t>資料を</w:t>
                            </w:r>
                            <w:r>
                              <w:rPr>
                                <w:rFonts w:asciiTheme="majorEastAsia" w:eastAsiaTheme="majorEastAsia" w:hAnsiTheme="majorEastAsia" w:hint="eastAsia"/>
                                <w:sz w:val="20"/>
                              </w:rPr>
                              <w:t>もとに</w:t>
                            </w:r>
                            <w:r>
                              <w:rPr>
                                <w:rFonts w:asciiTheme="majorEastAsia" w:eastAsiaTheme="majorEastAsia" w:hAnsiTheme="majorEastAsia"/>
                                <w:sz w:val="20"/>
                              </w:rPr>
                              <w:t>作成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030" type="#_x0000_t202" style="position:absolute;left:0;text-align:left;margin-left:276.75pt;margin-top:11.8pt;width:211.05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6v2iQIAABg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" stroked="f">
                <v:textbox inset="5.85pt,.7pt,5.85pt,.7pt">
                  <w:txbxContent>
                    <w:p>
                      <w:pPr>
                        <w:rPr>
                          <w:rFonts w:asciiTheme="majorEastAsia" w:eastAsiaTheme="majorEastAsia" w:hAnsiTheme="majorEastAsia"/>
                          <w:sz w:val="20"/>
                        </w:rPr>
                      </w:pPr>
                      <w:r>
                        <w:rPr>
                          <w:rFonts w:asciiTheme="majorEastAsia" w:eastAsiaTheme="majorEastAsia" w:hAnsiTheme="majorEastAsia" w:hint="eastAsia"/>
                          <w:sz w:val="20"/>
                        </w:rPr>
                        <w:t>出典：国立保健医療科学院</w:t>
                      </w:r>
                      <w:r>
                        <w:rPr>
                          <w:rFonts w:asciiTheme="majorEastAsia" w:eastAsiaTheme="majorEastAsia" w:hAnsiTheme="majorEastAsia"/>
                          <w:sz w:val="20"/>
                        </w:rPr>
                        <w:t>資料を</w:t>
                      </w:r>
                      <w:r>
                        <w:rPr>
                          <w:rFonts w:asciiTheme="majorEastAsia" w:eastAsiaTheme="majorEastAsia" w:hAnsiTheme="majorEastAsia" w:hint="eastAsia"/>
                          <w:sz w:val="20"/>
                        </w:rPr>
                        <w:t>もとに</w:t>
                      </w:r>
                      <w:r>
                        <w:rPr>
                          <w:rFonts w:asciiTheme="majorEastAsia" w:eastAsiaTheme="majorEastAsia" w:hAnsiTheme="majorEastAsia"/>
                          <w:sz w:val="20"/>
                        </w:rPr>
                        <w:t>作成</w:t>
                      </w:r>
                    </w:p>
                  </w:txbxContent>
                </v:textbox>
              </v:shape>
            </w:pict>
          </mc:Fallback>
        </mc:AlternateContent>
      </w:r>
    </w:p>
    <w:p>
      <w:pPr>
        <w:rPr>
          <w:rFonts w:ascii="ＭＳ ゴシック" w:eastAsia="ＭＳ ゴシック" w:hAnsi="ＭＳ ゴシック"/>
          <w:color w:val="FF0000"/>
        </w:rPr>
      </w:pPr>
    </w:p>
    <w:p>
      <w:pPr>
        <w:rPr>
          <w:rFonts w:ascii="ＭＳ ゴシック" w:eastAsia="ＭＳ ゴシック" w:hAnsi="ＭＳ ゴシック"/>
          <w:sz w:val="24"/>
          <w:szCs w:val="20"/>
        </w:rPr>
      </w:pPr>
      <w:r>
        <w:rPr>
          <w:rFonts w:ascii="ＭＳ ゴシック" w:eastAsia="ＭＳ ゴシック" w:hAnsi="ＭＳ ゴシック" w:hint="eastAsia"/>
          <w:sz w:val="24"/>
          <w:szCs w:val="20"/>
        </w:rPr>
        <w:t>（１）評価指標</w:t>
      </w:r>
      <w:r>
        <w:rPr>
          <w:rFonts w:ascii="ＭＳ ゴシック" w:eastAsia="ＭＳ ゴシック" w:hAnsi="ＭＳ ゴシック"/>
          <w:sz w:val="24"/>
          <w:szCs w:val="20"/>
        </w:rPr>
        <w:t>の視点</w:t>
      </w:r>
    </w:p>
    <w:p>
      <w:pPr>
        <w:ind w:leftChars="100" w:left="210" w:firstLineChars="100" w:firstLine="240"/>
        <w:rPr>
          <w:rFonts w:ascii="ＭＳ ゴシック" w:eastAsia="ＭＳ ゴシック" w:hAnsi="ＭＳ ゴシック"/>
          <w:sz w:val="24"/>
          <w:szCs w:val="20"/>
        </w:rPr>
      </w:pPr>
      <w:r>
        <w:rPr>
          <w:rFonts w:ascii="ＭＳ ゴシック" w:eastAsia="ＭＳ ゴシック" w:hAnsi="ＭＳ ゴシック" w:hint="eastAsia"/>
          <w:sz w:val="24"/>
          <w:szCs w:val="20"/>
        </w:rPr>
        <w:t>「健康</w:t>
      </w:r>
      <w:r>
        <w:rPr>
          <w:rFonts w:ascii="ＭＳ ゴシック" w:eastAsia="ＭＳ ゴシック" w:hAnsi="ＭＳ ゴシック"/>
          <w:sz w:val="24"/>
          <w:szCs w:val="20"/>
        </w:rPr>
        <w:t>寿命</w:t>
      </w:r>
      <w:r>
        <w:rPr>
          <w:rFonts w:ascii="ＭＳ ゴシック" w:eastAsia="ＭＳ ゴシック" w:hAnsi="ＭＳ ゴシック" w:hint="eastAsia"/>
          <w:sz w:val="24"/>
          <w:szCs w:val="20"/>
        </w:rPr>
        <w:t>」の</w:t>
      </w:r>
      <w:r>
        <w:rPr>
          <w:rFonts w:ascii="ＭＳ ゴシック" w:eastAsia="ＭＳ ゴシック" w:hAnsi="ＭＳ ゴシック"/>
          <w:sz w:val="24"/>
          <w:szCs w:val="20"/>
        </w:rPr>
        <w:t>延伸</w:t>
      </w:r>
      <w:r>
        <w:rPr>
          <w:rFonts w:ascii="ＭＳ ゴシック" w:eastAsia="ＭＳ ゴシック" w:hAnsi="ＭＳ ゴシック" w:hint="eastAsia"/>
          <w:sz w:val="24"/>
          <w:szCs w:val="20"/>
        </w:rPr>
        <w:t>に</w:t>
      </w:r>
      <w:r>
        <w:rPr>
          <w:rFonts w:ascii="ＭＳ ゴシック" w:eastAsia="ＭＳ ゴシック" w:hAnsi="ＭＳ ゴシック"/>
          <w:sz w:val="24"/>
          <w:szCs w:val="20"/>
        </w:rPr>
        <w:t>向けて、</w:t>
      </w:r>
      <w:r>
        <w:rPr>
          <w:rFonts w:ascii="ＭＳ ゴシック" w:eastAsia="ＭＳ ゴシック" w:hAnsi="ＭＳ ゴシック" w:hint="eastAsia"/>
          <w:sz w:val="24"/>
          <w:szCs w:val="20"/>
        </w:rPr>
        <w:t>国民健康保険</w:t>
      </w:r>
      <w:r>
        <w:rPr>
          <w:rFonts w:ascii="ＭＳ ゴシック" w:eastAsia="ＭＳ ゴシック" w:hAnsi="ＭＳ ゴシック"/>
          <w:sz w:val="24"/>
          <w:szCs w:val="20"/>
        </w:rPr>
        <w:t>は生活習慣病対策</w:t>
      </w:r>
      <w:r>
        <w:rPr>
          <w:rFonts w:ascii="ＭＳ ゴシック" w:eastAsia="ＭＳ ゴシック" w:hAnsi="ＭＳ ゴシック" w:hint="eastAsia"/>
          <w:sz w:val="24"/>
          <w:szCs w:val="20"/>
        </w:rPr>
        <w:t>の</w:t>
      </w:r>
      <w:r>
        <w:rPr>
          <w:rFonts w:ascii="ＭＳ ゴシック" w:eastAsia="ＭＳ ゴシック" w:hAnsi="ＭＳ ゴシック"/>
          <w:sz w:val="24"/>
          <w:szCs w:val="20"/>
        </w:rPr>
        <w:t>実施が義務づけられています。</w:t>
      </w:r>
    </w:p>
    <w:p>
      <w:pPr>
        <w:ind w:leftChars="100" w:left="210" w:firstLineChars="100" w:firstLine="240"/>
        <w:rPr>
          <w:rFonts w:ascii="ＭＳ ゴシック" w:eastAsia="ＭＳ ゴシック" w:hAnsi="ＭＳ ゴシック"/>
          <w:sz w:val="24"/>
          <w:szCs w:val="20"/>
        </w:rPr>
      </w:pPr>
      <w:r>
        <w:rPr>
          <w:rFonts w:ascii="ＭＳ ゴシック" w:eastAsia="ＭＳ ゴシック" w:hAnsi="ＭＳ ゴシック" w:hint="eastAsia"/>
          <w:sz w:val="24"/>
          <w:szCs w:val="20"/>
        </w:rPr>
        <w:t>生活習慣病は</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一般的</w:t>
      </w:r>
      <w:r>
        <w:rPr>
          <w:rFonts w:ascii="ＭＳ ゴシック" w:eastAsia="ＭＳ ゴシック" w:hAnsi="ＭＳ ゴシック"/>
          <w:sz w:val="24"/>
          <w:szCs w:val="20"/>
        </w:rPr>
        <w:t>に</w:t>
      </w:r>
      <w:r>
        <w:rPr>
          <w:rFonts w:ascii="ＭＳ ゴシック" w:eastAsia="ＭＳ ゴシック" w:hAnsi="ＭＳ ゴシック" w:hint="eastAsia"/>
          <w:sz w:val="24"/>
          <w:szCs w:val="20"/>
        </w:rPr>
        <w:t>ＢＭＩ</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血圧</w:t>
      </w:r>
      <w:r>
        <w:rPr>
          <w:rFonts w:ascii="ＭＳ ゴシック" w:eastAsia="ＭＳ ゴシック" w:hAnsi="ＭＳ ゴシック"/>
          <w:sz w:val="24"/>
          <w:szCs w:val="20"/>
        </w:rPr>
        <w:t>、血糖</w:t>
      </w:r>
      <w:r>
        <w:rPr>
          <w:rFonts w:ascii="ＭＳ ゴシック" w:eastAsia="ＭＳ ゴシック" w:hAnsi="ＭＳ ゴシック" w:hint="eastAsia"/>
          <w:sz w:val="24"/>
          <w:szCs w:val="20"/>
        </w:rPr>
        <w:t>等</w:t>
      </w:r>
      <w:r>
        <w:rPr>
          <w:rFonts w:ascii="ＭＳ ゴシック" w:eastAsia="ＭＳ ゴシック" w:hAnsi="ＭＳ ゴシック"/>
          <w:sz w:val="24"/>
          <w:szCs w:val="20"/>
        </w:rPr>
        <w:t>の「</w:t>
      </w:r>
      <w:r>
        <w:rPr>
          <w:rFonts w:ascii="ＭＳ ゴシック" w:eastAsia="ＭＳ ゴシック" w:hAnsi="ＭＳ ゴシック" w:hint="eastAsia"/>
          <w:sz w:val="24"/>
          <w:szCs w:val="20"/>
        </w:rPr>
        <w:t>リスク因子</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を</w:t>
      </w:r>
      <w:r>
        <w:rPr>
          <w:rFonts w:ascii="ＭＳ ゴシック" w:eastAsia="ＭＳ ゴシック" w:hAnsi="ＭＳ ゴシック"/>
          <w:sz w:val="24"/>
          <w:szCs w:val="20"/>
        </w:rPr>
        <w:t>多く抱える被保険者</w:t>
      </w:r>
      <w:r>
        <w:rPr>
          <w:rFonts w:ascii="ＭＳ ゴシック" w:eastAsia="ＭＳ ゴシック" w:hAnsi="ＭＳ ゴシック" w:hint="eastAsia"/>
          <w:sz w:val="24"/>
          <w:szCs w:val="20"/>
        </w:rPr>
        <w:t>に</w:t>
      </w:r>
      <w:r>
        <w:rPr>
          <w:rFonts w:ascii="ＭＳ ゴシック" w:eastAsia="ＭＳ ゴシック" w:hAnsi="ＭＳ ゴシック"/>
          <w:sz w:val="24"/>
          <w:szCs w:val="20"/>
        </w:rPr>
        <w:t>対して、保健指導等を実施することで</w:t>
      </w:r>
      <w:r>
        <w:rPr>
          <w:rFonts w:ascii="ＭＳ ゴシック" w:eastAsia="ＭＳ ゴシック" w:hAnsi="ＭＳ ゴシック" w:hint="eastAsia"/>
          <w:sz w:val="24"/>
          <w:szCs w:val="20"/>
        </w:rPr>
        <w:t>「疾病</w:t>
      </w:r>
      <w:r>
        <w:rPr>
          <w:rFonts w:ascii="ＭＳ ゴシック" w:eastAsia="ＭＳ ゴシック" w:hAnsi="ＭＳ ゴシック"/>
          <w:sz w:val="24"/>
          <w:szCs w:val="20"/>
        </w:rPr>
        <w:t>を発症</w:t>
      </w:r>
      <w:r>
        <w:rPr>
          <w:rFonts w:ascii="ＭＳ ゴシック" w:eastAsia="ＭＳ ゴシック" w:hAnsi="ＭＳ ゴシック" w:hint="eastAsia"/>
          <w:sz w:val="24"/>
          <w:szCs w:val="20"/>
        </w:rPr>
        <w:t>」、「重症化」を予防し、</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要介護状態</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に</w:t>
      </w:r>
      <w:r>
        <w:rPr>
          <w:rFonts w:ascii="ＭＳ ゴシック" w:eastAsia="ＭＳ ゴシック" w:hAnsi="ＭＳ ゴシック"/>
          <w:sz w:val="24"/>
          <w:szCs w:val="20"/>
        </w:rPr>
        <w:t>陥</w:t>
      </w:r>
      <w:r>
        <w:rPr>
          <w:rFonts w:ascii="ＭＳ ゴシック" w:eastAsia="ＭＳ ゴシック" w:hAnsi="ＭＳ ゴシック" w:hint="eastAsia"/>
          <w:sz w:val="24"/>
          <w:szCs w:val="20"/>
        </w:rPr>
        <w:t>る</w:t>
      </w:r>
      <w:r>
        <w:rPr>
          <w:rFonts w:ascii="ＭＳ ゴシック" w:eastAsia="ＭＳ ゴシック" w:hAnsi="ＭＳ ゴシック"/>
          <w:sz w:val="24"/>
          <w:szCs w:val="20"/>
        </w:rPr>
        <w:t>ことなく</w:t>
      </w:r>
      <w:r>
        <w:rPr>
          <w:rFonts w:ascii="ＭＳ ゴシック" w:eastAsia="ＭＳ ゴシック" w:hAnsi="ＭＳ ゴシック" w:hint="eastAsia"/>
          <w:sz w:val="24"/>
          <w:szCs w:val="20"/>
        </w:rPr>
        <w:t>「死亡」した</w:t>
      </w:r>
      <w:r>
        <w:rPr>
          <w:rFonts w:ascii="ＭＳ ゴシック" w:eastAsia="ＭＳ ゴシック" w:hAnsi="ＭＳ ゴシック"/>
          <w:sz w:val="24"/>
          <w:szCs w:val="20"/>
        </w:rPr>
        <w:t>結果</w:t>
      </w:r>
      <w:r>
        <w:rPr>
          <w:rFonts w:ascii="ＭＳ ゴシック" w:eastAsia="ＭＳ ゴシック" w:hAnsi="ＭＳ ゴシック" w:hint="eastAsia"/>
          <w:sz w:val="24"/>
          <w:szCs w:val="20"/>
        </w:rPr>
        <w:t>「平均寿命」</w:t>
      </w:r>
      <w:r>
        <w:rPr>
          <w:rFonts w:ascii="ＭＳ ゴシック" w:eastAsia="ＭＳ ゴシック" w:hAnsi="ＭＳ ゴシック"/>
          <w:sz w:val="24"/>
          <w:szCs w:val="20"/>
        </w:rPr>
        <w:t>「</w:t>
      </w:r>
      <w:r>
        <w:rPr>
          <w:rFonts w:ascii="ＭＳ ゴシック" w:eastAsia="ＭＳ ゴシック" w:hAnsi="ＭＳ ゴシック" w:hint="eastAsia"/>
          <w:sz w:val="24"/>
          <w:szCs w:val="20"/>
        </w:rPr>
        <w:t>健康</w:t>
      </w:r>
      <w:r>
        <w:rPr>
          <w:rFonts w:ascii="ＭＳ ゴシック" w:eastAsia="ＭＳ ゴシック" w:hAnsi="ＭＳ ゴシック"/>
          <w:sz w:val="24"/>
          <w:szCs w:val="20"/>
        </w:rPr>
        <w:t>寿命」</w:t>
      </w:r>
      <w:r>
        <w:rPr>
          <w:rFonts w:ascii="ＭＳ ゴシック" w:eastAsia="ＭＳ ゴシック" w:hAnsi="ＭＳ ゴシック" w:hint="eastAsia"/>
          <w:sz w:val="24"/>
          <w:szCs w:val="20"/>
        </w:rPr>
        <w:t>が延伸する、</w:t>
      </w:r>
      <w:r>
        <w:rPr>
          <w:rFonts w:ascii="ＭＳ ゴシック" w:eastAsia="ＭＳ ゴシック" w:hAnsi="ＭＳ ゴシック"/>
          <w:sz w:val="24"/>
          <w:szCs w:val="20"/>
        </w:rPr>
        <w:t>という</w:t>
      </w:r>
      <w:r>
        <w:rPr>
          <w:rFonts w:ascii="ＭＳ ゴシック" w:eastAsia="ＭＳ ゴシック" w:hAnsi="ＭＳ ゴシック" w:hint="eastAsia"/>
          <w:sz w:val="24"/>
          <w:szCs w:val="20"/>
        </w:rPr>
        <w:t>メカニズム</w:t>
      </w:r>
      <w:r>
        <w:rPr>
          <w:rFonts w:ascii="ＭＳ ゴシック" w:eastAsia="ＭＳ ゴシック" w:hAnsi="ＭＳ ゴシック"/>
          <w:sz w:val="24"/>
          <w:szCs w:val="20"/>
        </w:rPr>
        <w:t>に着目</w:t>
      </w:r>
      <w:r>
        <w:rPr>
          <w:rFonts w:ascii="ＭＳ ゴシック" w:eastAsia="ＭＳ ゴシック" w:hAnsi="ＭＳ ゴシック" w:hint="eastAsia"/>
          <w:sz w:val="24"/>
          <w:szCs w:val="20"/>
        </w:rPr>
        <w:t>し</w:t>
      </w:r>
      <w:r>
        <w:rPr>
          <w:rFonts w:ascii="ＭＳ ゴシック" w:eastAsia="ＭＳ ゴシック" w:hAnsi="ＭＳ ゴシック"/>
          <w:sz w:val="24"/>
          <w:szCs w:val="20"/>
        </w:rPr>
        <w:t>評価</w:t>
      </w:r>
      <w:r>
        <w:rPr>
          <w:rFonts w:ascii="ＭＳ ゴシック" w:eastAsia="ＭＳ ゴシック" w:hAnsi="ＭＳ ゴシック" w:hint="eastAsia"/>
          <w:sz w:val="24"/>
          <w:szCs w:val="20"/>
        </w:rPr>
        <w:t>をします</w:t>
      </w:r>
      <w:r>
        <w:rPr>
          <w:rFonts w:ascii="ＭＳ ゴシック" w:eastAsia="ＭＳ ゴシック" w:hAnsi="ＭＳ ゴシック"/>
          <w:sz w:val="24"/>
          <w:szCs w:val="20"/>
        </w:rPr>
        <w:t>。</w:t>
      </w:r>
    </w:p>
    <w:p>
      <w:pPr>
        <w:ind w:firstLineChars="100" w:firstLine="240"/>
        <w:rPr>
          <w:rFonts w:ascii="ＭＳ ゴシック" w:eastAsia="ＭＳ ゴシック" w:hAnsi="ＭＳ ゴシック"/>
          <w:sz w:val="24"/>
          <w:szCs w:val="20"/>
        </w:rPr>
      </w:pPr>
      <w:r>
        <w:rPr>
          <w:rFonts w:ascii="ＭＳ ゴシック" w:eastAsia="ＭＳ ゴシック" w:hAnsi="ＭＳ ゴシック" w:hint="eastAsia"/>
          <w:sz w:val="24"/>
          <w:szCs w:val="20"/>
        </w:rPr>
        <w:t>また、</w:t>
      </w:r>
      <w:r>
        <w:rPr>
          <w:rFonts w:ascii="ＭＳ ゴシック" w:eastAsia="ＭＳ ゴシック" w:hAnsi="ＭＳ ゴシック"/>
          <w:sz w:val="24"/>
          <w:szCs w:val="20"/>
        </w:rPr>
        <w:t>医療費</w:t>
      </w:r>
      <w:r>
        <w:rPr>
          <w:rFonts w:ascii="ＭＳ ゴシック" w:eastAsia="ＭＳ ゴシック" w:hAnsi="ＭＳ ゴシック" w:hint="eastAsia"/>
          <w:sz w:val="24"/>
          <w:szCs w:val="20"/>
        </w:rPr>
        <w:t>の</w:t>
      </w:r>
      <w:r>
        <w:rPr>
          <w:rFonts w:ascii="ＭＳ ゴシック" w:eastAsia="ＭＳ ゴシック" w:hAnsi="ＭＳ ゴシック"/>
          <w:sz w:val="24"/>
          <w:szCs w:val="20"/>
        </w:rPr>
        <w:t>適正化</w:t>
      </w:r>
      <w:r>
        <w:rPr>
          <w:rFonts w:ascii="ＭＳ ゴシック" w:eastAsia="ＭＳ ゴシック" w:hAnsi="ＭＳ ゴシック" w:hint="eastAsia"/>
          <w:sz w:val="24"/>
          <w:szCs w:val="20"/>
        </w:rPr>
        <w:t>に</w:t>
      </w:r>
      <w:r>
        <w:rPr>
          <w:rFonts w:ascii="ＭＳ ゴシック" w:eastAsia="ＭＳ ゴシック" w:hAnsi="ＭＳ ゴシック"/>
          <w:sz w:val="24"/>
          <w:szCs w:val="20"/>
        </w:rPr>
        <w:t>向けた視点</w:t>
      </w:r>
      <w:r>
        <w:rPr>
          <w:rFonts w:ascii="ＭＳ ゴシック" w:eastAsia="ＭＳ ゴシック" w:hAnsi="ＭＳ ゴシック" w:hint="eastAsia"/>
          <w:sz w:val="24"/>
          <w:szCs w:val="20"/>
        </w:rPr>
        <w:t>での</w:t>
      </w:r>
      <w:r>
        <w:rPr>
          <w:rFonts w:ascii="ＭＳ ゴシック" w:eastAsia="ＭＳ ゴシック" w:hAnsi="ＭＳ ゴシック"/>
          <w:sz w:val="24"/>
          <w:szCs w:val="20"/>
        </w:rPr>
        <w:t>評価</w:t>
      </w:r>
      <w:r>
        <w:rPr>
          <w:rFonts w:ascii="ＭＳ ゴシック" w:eastAsia="ＭＳ ゴシック" w:hAnsi="ＭＳ ゴシック" w:hint="eastAsia"/>
          <w:sz w:val="24"/>
          <w:szCs w:val="20"/>
        </w:rPr>
        <w:t>も</w:t>
      </w:r>
      <w:r>
        <w:rPr>
          <w:rFonts w:ascii="ＭＳ ゴシック" w:eastAsia="ＭＳ ゴシック" w:hAnsi="ＭＳ ゴシック"/>
          <w:sz w:val="24"/>
          <w:szCs w:val="20"/>
        </w:rPr>
        <w:t>大切となります。</w:t>
      </w:r>
    </w:p>
    <w:p>
      <w:pPr>
        <w:ind w:leftChars="100" w:left="210" w:firstLineChars="100" w:firstLine="240"/>
        <w:rPr>
          <w:rFonts w:ascii="ＭＳ ゴシック" w:eastAsia="ＭＳ ゴシック" w:hAnsi="ＭＳ ゴシック"/>
          <w:sz w:val="24"/>
          <w:szCs w:val="20"/>
        </w:rPr>
      </w:pPr>
      <w:r>
        <w:rPr>
          <w:rFonts w:ascii="ＭＳ ゴシック" w:eastAsia="ＭＳ ゴシック" w:hAnsi="ＭＳ ゴシック" w:hint="eastAsia"/>
          <w:sz w:val="24"/>
          <w:szCs w:val="20"/>
        </w:rPr>
        <w:t>個別</w:t>
      </w:r>
      <w:r>
        <w:rPr>
          <w:rFonts w:ascii="ＭＳ ゴシック" w:eastAsia="ＭＳ ゴシック" w:hAnsi="ＭＳ ゴシック"/>
          <w:sz w:val="24"/>
          <w:szCs w:val="20"/>
        </w:rPr>
        <w:t>保健事業</w:t>
      </w:r>
      <w:r>
        <w:rPr>
          <w:rFonts w:ascii="ＭＳ ゴシック" w:eastAsia="ＭＳ ゴシック" w:hAnsi="ＭＳ ゴシック" w:hint="eastAsia"/>
          <w:sz w:val="24"/>
          <w:szCs w:val="20"/>
        </w:rPr>
        <w:t>を</w:t>
      </w:r>
      <w:r>
        <w:rPr>
          <w:rFonts w:ascii="ＭＳ ゴシック" w:eastAsia="ＭＳ ゴシック" w:hAnsi="ＭＳ ゴシック"/>
          <w:sz w:val="24"/>
          <w:szCs w:val="20"/>
        </w:rPr>
        <w:t>行</w:t>
      </w:r>
      <w:r>
        <w:rPr>
          <w:rFonts w:ascii="ＭＳ ゴシック" w:eastAsia="ＭＳ ゴシック" w:hAnsi="ＭＳ ゴシック" w:hint="eastAsia"/>
          <w:sz w:val="24"/>
          <w:szCs w:val="20"/>
        </w:rPr>
        <w:t>う</w:t>
      </w:r>
      <w:r>
        <w:rPr>
          <w:rFonts w:ascii="ＭＳ ゴシック" w:eastAsia="ＭＳ ゴシック" w:hAnsi="ＭＳ ゴシック"/>
          <w:sz w:val="24"/>
          <w:szCs w:val="20"/>
        </w:rPr>
        <w:t>背景となる事業全体の状況を</w:t>
      </w:r>
      <w:r>
        <w:rPr>
          <w:rFonts w:ascii="ＭＳ ゴシック" w:eastAsia="ＭＳ ゴシック" w:hAnsi="ＭＳ ゴシック" w:hint="eastAsia"/>
          <w:sz w:val="24"/>
          <w:szCs w:val="20"/>
        </w:rPr>
        <w:t>主な</w:t>
      </w:r>
      <w:r>
        <w:rPr>
          <w:rFonts w:ascii="ＭＳ ゴシック" w:eastAsia="ＭＳ ゴシック" w:hAnsi="ＭＳ ゴシック"/>
          <w:sz w:val="24"/>
          <w:szCs w:val="20"/>
        </w:rPr>
        <w:t>評価指標から把握すること</w:t>
      </w:r>
      <w:r>
        <w:rPr>
          <w:rFonts w:ascii="ＭＳ ゴシック" w:eastAsia="ＭＳ ゴシック" w:hAnsi="ＭＳ ゴシック" w:hint="eastAsia"/>
          <w:sz w:val="24"/>
          <w:szCs w:val="20"/>
        </w:rPr>
        <w:t>で、最終年度の評価</w:t>
      </w:r>
      <w:r>
        <w:rPr>
          <w:rFonts w:ascii="ＭＳ ゴシック" w:eastAsia="ＭＳ ゴシック" w:hAnsi="ＭＳ ゴシック"/>
          <w:sz w:val="24"/>
          <w:szCs w:val="20"/>
        </w:rPr>
        <w:t>に向けた事業の</w:t>
      </w:r>
      <w:r>
        <w:rPr>
          <w:rFonts w:ascii="ＭＳ ゴシック" w:eastAsia="ＭＳ ゴシック" w:hAnsi="ＭＳ ゴシック" w:hint="eastAsia"/>
          <w:sz w:val="24"/>
          <w:szCs w:val="20"/>
        </w:rPr>
        <w:t>見直しも</w:t>
      </w:r>
      <w:r>
        <w:rPr>
          <w:rFonts w:ascii="ＭＳ ゴシック" w:eastAsia="ＭＳ ゴシック" w:hAnsi="ＭＳ ゴシック"/>
          <w:sz w:val="24"/>
          <w:szCs w:val="20"/>
        </w:rPr>
        <w:t>可能となります</w:t>
      </w:r>
      <w:r>
        <w:rPr>
          <w:rFonts w:ascii="ＭＳ ゴシック" w:eastAsia="ＭＳ ゴシック" w:hAnsi="ＭＳ ゴシック" w:hint="eastAsia"/>
          <w:sz w:val="24"/>
          <w:szCs w:val="20"/>
        </w:rPr>
        <w:t>。</w:t>
      </w:r>
    </w:p>
    <w:p>
      <w:pPr>
        <w:rPr>
          <w:rFonts w:ascii="ＭＳ ゴシック" w:eastAsia="ＭＳ ゴシック" w:hAnsi="ＭＳ ゴシック"/>
          <w:color w:val="FF0000"/>
        </w:rPr>
      </w:pPr>
    </w:p>
    <w:p>
      <w:pPr>
        <w:rPr>
          <w:rFonts w:ascii="ＭＳ ゴシック" w:eastAsia="ＭＳ ゴシック" w:hAnsi="ＭＳ ゴシック"/>
          <w:color w:val="FF0000"/>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（２）評価指標からみた現状(まとめ)</w:t>
      </w:r>
    </w:p>
    <w:p>
      <w:pPr>
        <w:rPr>
          <w:rFonts w:ascii="ＭＳ ゴシック" w:eastAsia="ＭＳ ゴシック" w:hAnsi="ＭＳ ゴシック"/>
          <w:sz w:val="24"/>
          <w:szCs w:val="24"/>
        </w:rPr>
      </w:pPr>
    </w:p>
    <w:tbl>
      <w:tblPr>
        <w:tblW w:w="10060" w:type="dxa"/>
        <w:tblCellMar>
          <w:left w:w="99" w:type="dxa"/>
          <w:right w:w="99" w:type="dxa"/>
        </w:tblCellMar>
        <w:tblLook w:val="04A0" w:firstRow="1" w:lastRow="0" w:firstColumn="1" w:lastColumn="0" w:noHBand="0" w:noVBand="1"/>
      </w:tblPr>
      <w:tblGrid>
        <w:gridCol w:w="1413"/>
        <w:gridCol w:w="1843"/>
        <w:gridCol w:w="992"/>
        <w:gridCol w:w="1417"/>
        <w:gridCol w:w="1276"/>
        <w:gridCol w:w="1701"/>
        <w:gridCol w:w="1418"/>
      </w:tblGrid>
      <w:tr>
        <w:trPr>
          <w:trHeight w:val="618"/>
        </w:trPr>
        <w:tc>
          <w:tcPr>
            <w:tcW w:w="4248" w:type="dxa"/>
            <w:gridSpan w:val="3"/>
            <w:tcBorders>
              <w:top w:val="single" w:sz="4" w:space="0" w:color="auto"/>
              <w:left w:val="single" w:sz="4" w:space="0" w:color="auto"/>
              <w:bottom w:val="single" w:sz="4" w:space="0" w:color="000000"/>
              <w:right w:val="single" w:sz="4" w:space="0" w:color="000000"/>
            </w:tcBorders>
            <w:shd w:val="clear" w:color="000000" w:fill="FFF2CC"/>
            <w:noWrap/>
            <w:vAlign w:val="center"/>
            <w:hideMark/>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hint="eastAsia"/>
                <w:sz w:val="24"/>
                <w:szCs w:val="24"/>
              </w:rPr>
              <w:t xml:space="preserve">　</w:t>
            </w:r>
            <w:bookmarkStart w:id="3" w:name="_Hlk60661339"/>
            <w:r>
              <w:rPr>
                <w:rFonts w:ascii="ＭＳ ゴシック" w:eastAsia="ＭＳ ゴシック" w:hAnsi="ＭＳ ゴシック" w:cs="ＭＳ Ｐゴシック" w:hint="eastAsia"/>
                <w:color w:val="000000"/>
                <w:kern w:val="0"/>
                <w:sz w:val="16"/>
                <w:szCs w:val="16"/>
              </w:rPr>
              <w:t>健康度を示す項目</w:t>
            </w:r>
          </w:p>
        </w:tc>
        <w:tc>
          <w:tcPr>
            <w:tcW w:w="1417" w:type="dxa"/>
            <w:tcBorders>
              <w:top w:val="single" w:sz="4" w:space="0" w:color="auto"/>
              <w:left w:val="single" w:sz="4" w:space="0" w:color="auto"/>
              <w:bottom w:val="single" w:sz="4" w:space="0" w:color="000000"/>
              <w:right w:val="single" w:sz="4" w:space="0" w:color="auto"/>
            </w:tcBorders>
            <w:shd w:val="clear" w:color="000000" w:fill="FFF2CC"/>
            <w:vAlign w:val="center"/>
            <w:hideMark/>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①ベースライン</w:t>
            </w:r>
            <w:r>
              <w:rPr>
                <w:rFonts w:ascii="ＭＳ ゴシック" w:eastAsia="ＭＳ ゴシック" w:hAnsi="ＭＳ ゴシック" w:cs="ＭＳ Ｐゴシック" w:hint="eastAsia"/>
                <w:color w:val="000000"/>
                <w:kern w:val="0"/>
                <w:sz w:val="16"/>
                <w:szCs w:val="16"/>
              </w:rPr>
              <w:br/>
              <w:t>（H28年度）</w:t>
            </w:r>
          </w:p>
        </w:tc>
        <w:tc>
          <w:tcPr>
            <w:tcW w:w="1276" w:type="dxa"/>
            <w:tcBorders>
              <w:top w:val="single" w:sz="4" w:space="0" w:color="auto"/>
              <w:left w:val="single" w:sz="4" w:space="0" w:color="auto"/>
              <w:bottom w:val="single" w:sz="4" w:space="0" w:color="000000"/>
              <w:right w:val="single" w:sz="4" w:space="0" w:color="auto"/>
            </w:tcBorders>
            <w:shd w:val="clear" w:color="000000" w:fill="FFF2CC"/>
            <w:vAlign w:val="center"/>
            <w:hideMark/>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②中間評価</w:t>
            </w:r>
            <w:r>
              <w:rPr>
                <w:rFonts w:ascii="ＭＳ ゴシック" w:eastAsia="ＭＳ ゴシック" w:hAnsi="ＭＳ ゴシック" w:cs="ＭＳ Ｐゴシック" w:hint="eastAsia"/>
                <w:color w:val="000000"/>
                <w:kern w:val="0"/>
                <w:sz w:val="16"/>
                <w:szCs w:val="16"/>
              </w:rPr>
              <w:br/>
              <w:t>(R元年度）</w:t>
            </w:r>
          </w:p>
        </w:tc>
        <w:tc>
          <w:tcPr>
            <w:tcW w:w="1701" w:type="dxa"/>
            <w:tcBorders>
              <w:top w:val="single" w:sz="4" w:space="0" w:color="auto"/>
              <w:left w:val="nil"/>
              <w:bottom w:val="single" w:sz="4" w:space="0" w:color="auto"/>
              <w:right w:val="single" w:sz="4" w:space="0" w:color="auto"/>
            </w:tcBorders>
            <w:shd w:val="clear" w:color="000000" w:fill="FFF2CC"/>
            <w:noWrap/>
            <w:vAlign w:val="center"/>
            <w:hideMark/>
          </w:tcPr>
          <w:p>
            <w:pPr>
              <w:widowControl/>
              <w:spacing w:line="240" w:lineRule="exact"/>
              <w:jc w:val="center"/>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color w:val="000000"/>
                <w:kern w:val="0"/>
                <w:sz w:val="16"/>
                <w:szCs w:val="16"/>
              </w:rPr>
              <w:t>③中間評価</w:t>
            </w:r>
          </w:p>
          <w:p>
            <w:pPr>
              <w:spacing w:line="240" w:lineRule="exact"/>
              <w:ind w:firstLineChars="100" w:firstLine="160"/>
              <w:jc w:val="center"/>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color w:val="000000"/>
                <w:kern w:val="0"/>
                <w:sz w:val="16"/>
                <w:szCs w:val="16"/>
              </w:rPr>
              <w:t xml:space="preserve"> (①と②の比較)</w:t>
            </w:r>
          </w:p>
        </w:tc>
        <w:tc>
          <w:tcPr>
            <w:tcW w:w="1418" w:type="dxa"/>
            <w:tcBorders>
              <w:top w:val="single" w:sz="4" w:space="0" w:color="auto"/>
              <w:left w:val="nil"/>
              <w:bottom w:val="single" w:sz="4" w:space="0" w:color="auto"/>
              <w:right w:val="single" w:sz="4" w:space="0" w:color="auto"/>
            </w:tcBorders>
            <w:shd w:val="clear" w:color="000000" w:fill="FFF2CC"/>
            <w:noWrap/>
            <w:vAlign w:val="center"/>
            <w:hideMark/>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④最終年度目標</w:t>
            </w:r>
          </w:p>
          <w:p>
            <w:pPr>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（R5年度）</w:t>
            </w:r>
          </w:p>
          <w:p>
            <w:pPr>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【②の中間評価年度との比較】</w:t>
            </w:r>
          </w:p>
        </w:tc>
      </w:tr>
      <w:bookmarkEnd w:id="3"/>
      <w:tr>
        <w:trPr>
          <w:trHeight w:val="432"/>
        </w:trPr>
        <w:tc>
          <w:tcPr>
            <w:tcW w:w="1413" w:type="dxa"/>
            <w:vMerge w:val="restart"/>
            <w:tcBorders>
              <w:top w:val="nil"/>
              <w:left w:val="single" w:sz="4" w:space="0" w:color="auto"/>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生命表</w:t>
            </w:r>
          </w:p>
        </w:tc>
        <w:tc>
          <w:tcPr>
            <w:tcW w:w="1843" w:type="dxa"/>
            <w:vMerge w:val="restart"/>
            <w:tcBorders>
              <w:top w:val="nil"/>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平均寿命（歳）</w:t>
            </w:r>
          </w:p>
        </w:tc>
        <w:tc>
          <w:tcPr>
            <w:tcW w:w="992" w:type="dxa"/>
            <w:tcBorders>
              <w:top w:val="nil"/>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81.03</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81.72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延伸</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kern w:val="0"/>
                <w:sz w:val="16"/>
                <w:szCs w:val="16"/>
              </w:rPr>
            </w:pPr>
          </w:p>
        </w:tc>
        <w:tc>
          <w:tcPr>
            <w:tcW w:w="184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kern w:val="0"/>
                <w:sz w:val="16"/>
                <w:szCs w:val="16"/>
              </w:rPr>
            </w:pPr>
          </w:p>
        </w:tc>
        <w:tc>
          <w:tcPr>
            <w:tcW w:w="992" w:type="dxa"/>
            <w:tcBorders>
              <w:top w:val="nil"/>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86.85</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86.98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延伸</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kern w:val="0"/>
                <w:sz w:val="16"/>
                <w:szCs w:val="16"/>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65歳健康寿命（歳）</w:t>
            </w:r>
          </w:p>
        </w:tc>
        <w:tc>
          <w:tcPr>
            <w:tcW w:w="992" w:type="dxa"/>
            <w:tcBorders>
              <w:top w:val="nil"/>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17.38</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17.87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ind w:firstLineChars="600" w:firstLine="960"/>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延伸</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18.63※</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kern w:val="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kern w:val="0"/>
                <w:sz w:val="16"/>
                <w:szCs w:val="16"/>
              </w:rPr>
            </w:pPr>
          </w:p>
        </w:tc>
        <w:tc>
          <w:tcPr>
            <w:tcW w:w="992" w:type="dxa"/>
            <w:tcBorders>
              <w:top w:val="nil"/>
              <w:left w:val="nil"/>
              <w:bottom w:val="nil"/>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女性</w:t>
            </w:r>
          </w:p>
        </w:tc>
        <w:tc>
          <w:tcPr>
            <w:tcW w:w="1417"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20.34</w:t>
            </w:r>
          </w:p>
        </w:tc>
        <w:tc>
          <w:tcPr>
            <w:tcW w:w="1276"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20.73</w:t>
            </w:r>
          </w:p>
        </w:tc>
        <w:tc>
          <w:tcPr>
            <w:tcW w:w="1701" w:type="dxa"/>
            <w:tcBorders>
              <w:top w:val="single" w:sz="4" w:space="0" w:color="auto"/>
              <w:left w:val="nil"/>
              <w:bottom w:val="nil"/>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kern w:val="0"/>
                <w:sz w:val="16"/>
                <w:szCs w:val="16"/>
              </w:rPr>
            </w:pPr>
            <w:r>
              <w:rPr>
                <w:rFonts w:ascii="ＭＳ ゴシック" w:eastAsia="ＭＳ ゴシック" w:hAnsi="ＭＳ ゴシック" w:cs="ＭＳ Ｐゴシック" w:hint="eastAsia"/>
                <w:kern w:val="0"/>
                <w:sz w:val="16"/>
                <w:szCs w:val="16"/>
              </w:rPr>
              <w:t>延伸</w:t>
            </w:r>
          </w:p>
        </w:tc>
        <w:tc>
          <w:tcPr>
            <w:tcW w:w="1418"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21.38※</w:t>
            </w:r>
          </w:p>
        </w:tc>
      </w:tr>
      <w:tr>
        <w:trPr>
          <w:trHeight w:val="432"/>
        </w:trPr>
        <w:tc>
          <w:tcPr>
            <w:tcW w:w="141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標準化死亡比(SMR)</w:t>
            </w:r>
            <w:r>
              <w:rPr>
                <w:rFonts w:ascii="ＭＳ ゴシック" w:eastAsia="ＭＳ ゴシック" w:hAnsi="ＭＳ ゴシック" w:cs="ＭＳ Ｐゴシック"/>
                <w:color w:val="000000" w:themeColor="text1"/>
                <w:kern w:val="0"/>
                <w:sz w:val="16"/>
                <w:szCs w:val="16"/>
              </w:rPr>
              <w:t>(</w:t>
            </w:r>
            <w:r>
              <w:rPr>
                <w:rFonts w:ascii="ＭＳ ゴシック" w:eastAsia="ＭＳ ゴシック" w:hAnsi="ＭＳ ゴシック" w:cs="ＭＳ Ｐゴシック" w:hint="eastAsia"/>
                <w:color w:val="000000" w:themeColor="text1"/>
                <w:kern w:val="0"/>
                <w:sz w:val="16"/>
                <w:szCs w:val="16"/>
              </w:rPr>
              <w:t>全国を</w:t>
            </w:r>
            <w:r>
              <w:rPr>
                <w:rFonts w:ascii="ＭＳ ゴシック" w:eastAsia="ＭＳ ゴシック" w:hAnsi="ＭＳ ゴシック" w:cs="ＭＳ Ｐゴシック"/>
                <w:color w:val="000000" w:themeColor="text1"/>
                <w:kern w:val="0"/>
                <w:sz w:val="16"/>
                <w:szCs w:val="16"/>
              </w:rPr>
              <w:t>100とした場合の</w:t>
            </w:r>
            <w:r>
              <w:rPr>
                <w:rFonts w:ascii="ＭＳ ゴシック" w:eastAsia="ＭＳ ゴシック" w:hAnsi="ＭＳ ゴシック" w:cs="ＭＳ Ｐゴシック" w:hint="eastAsia"/>
                <w:color w:val="000000" w:themeColor="text1"/>
                <w:kern w:val="0"/>
                <w:sz w:val="16"/>
                <w:szCs w:val="16"/>
              </w:rPr>
              <w:t>比</w:t>
            </w:r>
            <w:r>
              <w:rPr>
                <w:rFonts w:ascii="ＭＳ ゴシック" w:eastAsia="ＭＳ ゴシック" w:hAnsi="ＭＳ ゴシック" w:cs="ＭＳ Ｐゴシック"/>
                <w:color w:val="000000" w:themeColor="text1"/>
                <w:kern w:val="0"/>
                <w:sz w:val="16"/>
                <w:szCs w:val="16"/>
              </w:rPr>
              <w:t>)</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総死亡</w:t>
            </w:r>
          </w:p>
        </w:tc>
        <w:tc>
          <w:tcPr>
            <w:tcW w:w="992" w:type="dxa"/>
            <w:tcBorders>
              <w:top w:val="single" w:sz="4" w:space="0" w:color="auto"/>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96.4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103.2</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103.6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 xml:space="preserve">        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tcPr>
          <w:p>
            <w:pPr>
              <w:widowControl/>
              <w:jc w:val="left"/>
              <w:rPr>
                <w:rFonts w:ascii="ＭＳ ゴシック" w:eastAsia="ＭＳ ゴシック" w:hAnsi="ＭＳ ゴシック" w:cs="ＭＳ Ｐゴシック"/>
                <w:color w:val="FF0000"/>
                <w:kern w:val="0"/>
                <w:sz w:val="16"/>
                <w:szCs w:val="16"/>
              </w:rPr>
            </w:pPr>
          </w:p>
        </w:tc>
        <w:tc>
          <w:tcPr>
            <w:tcW w:w="1843" w:type="dxa"/>
            <w:vMerge w:val="restart"/>
            <w:tcBorders>
              <w:top w:val="single" w:sz="4" w:space="0" w:color="auto"/>
              <w:left w:val="single" w:sz="4" w:space="0" w:color="auto"/>
              <w:right w:val="single" w:sz="4" w:space="0" w:color="auto"/>
            </w:tcBorders>
            <w:vAlign w:val="center"/>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悪性新生物</w:t>
            </w:r>
          </w:p>
        </w:tc>
        <w:tc>
          <w:tcPr>
            <w:tcW w:w="992" w:type="dxa"/>
            <w:tcBorders>
              <w:top w:val="nil"/>
              <w:left w:val="nil"/>
              <w:bottom w:val="single" w:sz="4" w:space="0" w:color="auto"/>
              <w:right w:val="single" w:sz="4" w:space="0" w:color="auto"/>
            </w:tcBorders>
            <w:shd w:val="clear" w:color="auto" w:fill="auto"/>
            <w:vAlign w:val="center"/>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97.7</w:t>
            </w:r>
          </w:p>
        </w:tc>
        <w:tc>
          <w:tcPr>
            <w:tcW w:w="1276"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96.6</w:t>
            </w:r>
          </w:p>
        </w:tc>
        <w:tc>
          <w:tcPr>
            <w:tcW w:w="1701"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tcPr>
          <w:p>
            <w:pPr>
              <w:widowControl/>
              <w:jc w:val="left"/>
              <w:rPr>
                <w:rFonts w:ascii="ＭＳ ゴシック" w:eastAsia="ＭＳ ゴシック" w:hAnsi="ＭＳ ゴシック" w:cs="ＭＳ Ｐゴシック"/>
                <w:color w:val="FF0000"/>
                <w:kern w:val="0"/>
                <w:sz w:val="16"/>
                <w:szCs w:val="16"/>
              </w:rPr>
            </w:pPr>
          </w:p>
        </w:tc>
        <w:tc>
          <w:tcPr>
            <w:tcW w:w="1843" w:type="dxa"/>
            <w:vMerge/>
            <w:tcBorders>
              <w:left w:val="single" w:sz="4" w:space="0" w:color="auto"/>
              <w:bottom w:val="single" w:sz="4" w:space="0" w:color="auto"/>
              <w:right w:val="single" w:sz="4" w:space="0" w:color="auto"/>
            </w:tcBorders>
            <w:vAlign w:val="center"/>
          </w:tcPr>
          <w:p>
            <w:pPr>
              <w:widowControl/>
              <w:jc w:val="left"/>
              <w:rPr>
                <w:rFonts w:ascii="ＭＳ ゴシック" w:eastAsia="ＭＳ ゴシック" w:hAnsi="ＭＳ ゴシック" w:cs="ＭＳ Ｐゴシック"/>
                <w:color w:val="000000" w:themeColor="text1"/>
                <w:kern w:val="0"/>
                <w:sz w:val="16"/>
                <w:szCs w:val="16"/>
              </w:rPr>
            </w:pPr>
          </w:p>
        </w:tc>
        <w:tc>
          <w:tcPr>
            <w:tcW w:w="992" w:type="dxa"/>
            <w:tcBorders>
              <w:top w:val="nil"/>
              <w:left w:val="nil"/>
              <w:bottom w:val="single" w:sz="4" w:space="0" w:color="auto"/>
              <w:right w:val="single" w:sz="4" w:space="0" w:color="auto"/>
            </w:tcBorders>
            <w:shd w:val="clear" w:color="auto" w:fill="auto"/>
            <w:vAlign w:val="center"/>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92.7</w:t>
            </w:r>
          </w:p>
        </w:tc>
        <w:tc>
          <w:tcPr>
            <w:tcW w:w="1276"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101.8</w:t>
            </w:r>
          </w:p>
        </w:tc>
        <w:tc>
          <w:tcPr>
            <w:tcW w:w="1701"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急性心筋梗塞</w:t>
            </w: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108.7</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95.9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109.3</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135.6</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脳梗塞</w:t>
            </w: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91.1</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104.1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109.6</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腎不全</w:t>
            </w: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93.7</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99.8</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20"/>
                <w:szCs w:val="20"/>
              </w:rPr>
            </w:pPr>
            <w:r>
              <w:rPr>
                <w:rFonts w:ascii="ＭＳ ゴシック" w:eastAsia="ＭＳ ゴシック" w:hAnsi="ＭＳ ゴシック" w:cs="ＭＳ Ｐゴシック" w:hint="eastAsia"/>
                <w:color w:val="000000" w:themeColor="text1"/>
                <w:kern w:val="0"/>
                <w:sz w:val="16"/>
                <w:szCs w:val="20"/>
              </w:rPr>
              <w:t>93.0</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95.5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val="restart"/>
            <w:tcBorders>
              <w:top w:val="nil"/>
              <w:left w:val="single" w:sz="4" w:space="0" w:color="auto"/>
              <w:bottom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医療</w:t>
            </w:r>
          </w:p>
        </w:tc>
        <w:tc>
          <w:tcPr>
            <w:tcW w:w="2835" w:type="dxa"/>
            <w:gridSpan w:val="2"/>
            <w:tcBorders>
              <w:top w:val="nil"/>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一人当たり医療費(円)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273,071</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288,249</w:t>
            </w:r>
          </w:p>
        </w:tc>
        <w:tc>
          <w:tcPr>
            <w:tcW w:w="1701" w:type="dxa"/>
            <w:tcBorders>
              <w:top w:val="nil"/>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高血圧症(一人当たり医療費)(円)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13,650</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10,152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糖尿病(一人当たり医療費)(円)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15,454</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15,751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心筋梗塞(一人当たり医療費)(円)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1,163</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1,667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 xml:space="preserve">脳梗塞(一人当たり医療費) (円) </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5,379</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4,483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慢性腎不全（透析あり）(一人当たり医療費)(円)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17,030</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20,013</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慢性腎不全（透析なし）(一人当たり医療費)(円)</w:t>
            </w:r>
          </w:p>
        </w:tc>
        <w:tc>
          <w:tcPr>
            <w:tcW w:w="1417"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1,215</w:t>
            </w:r>
          </w:p>
        </w:tc>
        <w:tc>
          <w:tcPr>
            <w:tcW w:w="1276"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807</w:t>
            </w:r>
          </w:p>
        </w:tc>
        <w:tc>
          <w:tcPr>
            <w:tcW w:w="1701"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FF0000"/>
                <w:kern w:val="0"/>
                <w:sz w:val="16"/>
                <w:szCs w:val="16"/>
              </w:rPr>
            </w:pPr>
          </w:p>
        </w:tc>
        <w:tc>
          <w:tcPr>
            <w:tcW w:w="2835" w:type="dxa"/>
            <w:gridSpan w:val="2"/>
            <w:tcBorders>
              <w:top w:val="single" w:sz="4" w:space="0" w:color="auto"/>
              <w:left w:val="nil"/>
              <w:bottom w:val="nil"/>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人工透析患者数(各年３月)(人)</w:t>
            </w:r>
          </w:p>
        </w:tc>
        <w:tc>
          <w:tcPr>
            <w:tcW w:w="1417"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63</w:t>
            </w:r>
          </w:p>
        </w:tc>
        <w:tc>
          <w:tcPr>
            <w:tcW w:w="1276"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000000" w:themeColor="text1"/>
                <w:kern w:val="0"/>
                <w:sz w:val="16"/>
                <w:szCs w:val="16"/>
              </w:rPr>
              <w:t>78</w:t>
            </w:r>
          </w:p>
        </w:tc>
        <w:tc>
          <w:tcPr>
            <w:tcW w:w="1701" w:type="dxa"/>
            <w:tcBorders>
              <w:top w:val="single" w:sz="4" w:space="0" w:color="auto"/>
              <w:left w:val="nil"/>
              <w:bottom w:val="nil"/>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color w:val="FF0000"/>
                <w:kern w:val="0"/>
                <w:sz w:val="16"/>
                <w:szCs w:val="16"/>
              </w:rPr>
              <w:t xml:space="preserve">　　　　　　　</w:t>
            </w: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nil"/>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FF0000"/>
                <w:kern w:val="0"/>
                <w:sz w:val="16"/>
                <w:szCs w:val="16"/>
              </w:rPr>
            </w:pPr>
            <w:r>
              <w:rPr>
                <w:rFonts w:ascii="ＭＳ ゴシック" w:eastAsia="ＭＳ ゴシック" w:hAnsi="ＭＳ ゴシック" w:cs="ＭＳ Ｐゴシック" w:hint="eastAsia"/>
                <w:kern w:val="0"/>
                <w:sz w:val="16"/>
                <w:szCs w:val="16"/>
              </w:rPr>
              <w:t>維持</w:t>
            </w:r>
          </w:p>
        </w:tc>
      </w:tr>
      <w:tr>
        <w:trPr>
          <w:trHeight w:val="432"/>
        </w:trPr>
        <w:tc>
          <w:tcPr>
            <w:tcW w:w="1413" w:type="dxa"/>
            <w:vMerge w:val="restart"/>
            <w:tcBorders>
              <w:top w:val="single" w:sz="4" w:space="0" w:color="auto"/>
              <w:left w:val="single" w:sz="4" w:space="0" w:color="auto"/>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健診</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特定健康診査受診率(％)</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38.8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44.1</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上昇</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60</w:t>
            </w:r>
          </w:p>
        </w:tc>
      </w:tr>
      <w:tr>
        <w:trPr>
          <w:trHeight w:val="432"/>
        </w:trPr>
        <w:tc>
          <w:tcPr>
            <w:tcW w:w="1413" w:type="dxa"/>
            <w:vMerge/>
            <w:tcBorders>
              <w:left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特定保健指導実施率(％)</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13.6</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17.0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上昇</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60</w:t>
            </w:r>
          </w:p>
        </w:tc>
      </w:tr>
      <w:tr>
        <w:trPr>
          <w:trHeight w:val="432"/>
        </w:trPr>
        <w:tc>
          <w:tcPr>
            <w:tcW w:w="1413" w:type="dxa"/>
            <w:vMerge/>
            <w:tcBorders>
              <w:left w:val="single" w:sz="4" w:space="0" w:color="auto"/>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内臓脂肪症候群の割合（％）</w:t>
            </w:r>
          </w:p>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内臓脂肪症候群予備群の割合(％)</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15.2</w:t>
            </w:r>
          </w:p>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12.0</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17.1</w:t>
            </w:r>
          </w:p>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11.9</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547"/>
        </w:trPr>
        <w:tc>
          <w:tcPr>
            <w:tcW w:w="1413" w:type="dxa"/>
            <w:vMerge/>
            <w:tcBorders>
              <w:left w:val="single" w:sz="4" w:space="0" w:color="auto"/>
              <w:right w:val="single" w:sz="4" w:space="0" w:color="auto"/>
            </w:tcBorders>
            <w:vAlign w:val="center"/>
          </w:tcPr>
          <w:p>
            <w:pPr>
              <w:widowControl/>
              <w:jc w:val="left"/>
              <w:rPr>
                <w:rFonts w:ascii="ＭＳ ゴシック" w:eastAsia="ＭＳ ゴシック" w:hAnsi="ＭＳ ゴシック" w:cs="ＭＳ Ｐゴシック"/>
                <w:color w:val="000000" w:themeColor="text1"/>
                <w:kern w:val="0"/>
                <w:sz w:val="16"/>
                <w:szCs w:val="16"/>
              </w:rPr>
            </w:pPr>
          </w:p>
        </w:tc>
        <w:tc>
          <w:tcPr>
            <w:tcW w:w="1843" w:type="dxa"/>
            <w:vMerge w:val="restart"/>
            <w:tcBorders>
              <w:top w:val="single" w:sz="4" w:space="0" w:color="auto"/>
              <w:left w:val="nil"/>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LDLコレステロールの有所見者状況（全国を100とした場合の比）</w:t>
            </w:r>
          </w:p>
        </w:tc>
        <w:tc>
          <w:tcPr>
            <w:tcW w:w="992"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男性</w:t>
            </w:r>
          </w:p>
        </w:tc>
        <w:tc>
          <w:tcPr>
            <w:tcW w:w="1417"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114.4</w:t>
            </w:r>
          </w:p>
        </w:tc>
        <w:tc>
          <w:tcPr>
            <w:tcW w:w="1276"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111.7</w:t>
            </w:r>
          </w:p>
        </w:tc>
        <w:tc>
          <w:tcPr>
            <w:tcW w:w="1701"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1413" w:type="dxa"/>
            <w:vMerge/>
            <w:tcBorders>
              <w:left w:val="single" w:sz="4" w:space="0" w:color="auto"/>
              <w:bottom w:val="single" w:sz="4" w:space="0" w:color="000000"/>
              <w:right w:val="single" w:sz="4" w:space="0" w:color="auto"/>
            </w:tcBorders>
            <w:vAlign w:val="center"/>
          </w:tcPr>
          <w:p>
            <w:pPr>
              <w:widowControl/>
              <w:jc w:val="left"/>
              <w:rPr>
                <w:rFonts w:ascii="ＭＳ ゴシック" w:eastAsia="ＭＳ ゴシック" w:hAnsi="ＭＳ ゴシック" w:cs="ＭＳ Ｐゴシック"/>
                <w:color w:val="000000" w:themeColor="text1"/>
                <w:kern w:val="0"/>
                <w:sz w:val="16"/>
                <w:szCs w:val="16"/>
              </w:rPr>
            </w:pPr>
          </w:p>
        </w:tc>
        <w:tc>
          <w:tcPr>
            <w:tcW w:w="1843" w:type="dxa"/>
            <w:vMerge/>
            <w:tcBorders>
              <w:left w:val="nil"/>
              <w:bottom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themeColor="text1"/>
                <w:kern w:val="0"/>
                <w:sz w:val="16"/>
                <w:szCs w:val="16"/>
              </w:rPr>
            </w:pPr>
          </w:p>
        </w:tc>
        <w:tc>
          <w:tcPr>
            <w:tcW w:w="992" w:type="dxa"/>
            <w:tcBorders>
              <w:top w:val="single" w:sz="4" w:space="0" w:color="auto"/>
              <w:left w:val="nil"/>
              <w:bottom w:val="single" w:sz="4" w:space="0" w:color="auto"/>
              <w:right w:val="single" w:sz="4" w:space="0" w:color="auto"/>
            </w:tcBorders>
            <w:shd w:val="clear" w:color="auto" w:fill="auto"/>
            <w:vAlign w:val="center"/>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女性</w:t>
            </w:r>
          </w:p>
        </w:tc>
        <w:tc>
          <w:tcPr>
            <w:tcW w:w="1417"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102.4</w:t>
            </w:r>
          </w:p>
        </w:tc>
        <w:tc>
          <w:tcPr>
            <w:tcW w:w="1276"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102.0</w:t>
            </w:r>
          </w:p>
        </w:tc>
        <w:tc>
          <w:tcPr>
            <w:tcW w:w="1701" w:type="dxa"/>
            <w:tcBorders>
              <w:top w:val="single" w:sz="4" w:space="0" w:color="auto"/>
              <w:left w:val="nil"/>
              <w:bottom w:val="single" w:sz="4" w:space="0" w:color="auto"/>
              <w:right w:val="single" w:sz="4" w:space="0" w:color="auto"/>
            </w:tcBorders>
            <w:shd w:val="clear" w:color="auto" w:fill="auto"/>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r>
      <w:tr>
        <w:trPr>
          <w:trHeight w:val="432"/>
        </w:trPr>
        <w:tc>
          <w:tcPr>
            <w:tcW w:w="4248" w:type="dxa"/>
            <w:gridSpan w:val="3"/>
            <w:tcBorders>
              <w:top w:val="single" w:sz="4" w:space="0" w:color="auto"/>
              <w:left w:val="single" w:sz="4" w:space="0" w:color="auto"/>
              <w:bottom w:val="single" w:sz="4" w:space="0" w:color="000000"/>
              <w:right w:val="single" w:sz="4" w:space="0" w:color="auto"/>
            </w:tcBorders>
            <w:shd w:val="clear" w:color="000000" w:fill="FFF2CC"/>
            <w:vAlign w:val="center"/>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lastRenderedPageBreak/>
              <w:t>健康度を示す項目</w:t>
            </w:r>
          </w:p>
        </w:tc>
        <w:tc>
          <w:tcPr>
            <w:tcW w:w="1417" w:type="dxa"/>
            <w:tcBorders>
              <w:top w:val="single" w:sz="4" w:space="0" w:color="auto"/>
              <w:left w:val="single" w:sz="4" w:space="0" w:color="auto"/>
              <w:bottom w:val="single" w:sz="4" w:space="0" w:color="000000"/>
              <w:right w:val="single" w:sz="4" w:space="0" w:color="auto"/>
            </w:tcBorders>
            <w:shd w:val="clear" w:color="000000" w:fill="FFF2CC"/>
            <w:noWrap/>
            <w:vAlign w:val="center"/>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①ベースライン</w:t>
            </w:r>
            <w:r>
              <w:rPr>
                <w:rFonts w:ascii="ＭＳ ゴシック" w:eastAsia="ＭＳ ゴシック" w:hAnsi="ＭＳ ゴシック" w:cs="ＭＳ Ｐゴシック" w:hint="eastAsia"/>
                <w:color w:val="000000"/>
                <w:kern w:val="0"/>
                <w:sz w:val="16"/>
                <w:szCs w:val="16"/>
              </w:rPr>
              <w:br/>
              <w:t>（H28年度）</w:t>
            </w:r>
          </w:p>
        </w:tc>
        <w:tc>
          <w:tcPr>
            <w:tcW w:w="1276" w:type="dxa"/>
            <w:tcBorders>
              <w:top w:val="single" w:sz="4" w:space="0" w:color="auto"/>
              <w:left w:val="single" w:sz="4" w:space="0" w:color="auto"/>
              <w:bottom w:val="single" w:sz="4" w:space="0" w:color="000000"/>
              <w:right w:val="single" w:sz="4" w:space="0" w:color="auto"/>
            </w:tcBorders>
            <w:shd w:val="clear" w:color="000000" w:fill="FFF2CC"/>
            <w:noWrap/>
            <w:vAlign w:val="center"/>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②中間評価</w:t>
            </w:r>
            <w:r>
              <w:rPr>
                <w:rFonts w:ascii="ＭＳ ゴシック" w:eastAsia="ＭＳ ゴシック" w:hAnsi="ＭＳ ゴシック" w:cs="ＭＳ Ｐゴシック" w:hint="eastAsia"/>
                <w:color w:val="000000"/>
                <w:kern w:val="0"/>
                <w:sz w:val="16"/>
                <w:szCs w:val="16"/>
              </w:rPr>
              <w:br/>
              <w:t>(R元年度）</w:t>
            </w:r>
          </w:p>
        </w:tc>
        <w:tc>
          <w:tcPr>
            <w:tcW w:w="1701" w:type="dxa"/>
            <w:tcBorders>
              <w:top w:val="single" w:sz="4" w:space="0" w:color="auto"/>
              <w:left w:val="nil"/>
              <w:bottom w:val="single" w:sz="4" w:space="0" w:color="auto"/>
              <w:right w:val="single" w:sz="4" w:space="0" w:color="auto"/>
            </w:tcBorders>
            <w:shd w:val="clear" w:color="000000" w:fill="FFF2CC"/>
            <w:vAlign w:val="center"/>
          </w:tcPr>
          <w:p>
            <w:pPr>
              <w:widowControl/>
              <w:spacing w:line="240" w:lineRule="exact"/>
              <w:jc w:val="center"/>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color w:val="000000"/>
                <w:kern w:val="0"/>
                <w:sz w:val="16"/>
                <w:szCs w:val="16"/>
              </w:rPr>
              <w:t>③中間評価</w:t>
            </w:r>
          </w:p>
          <w:p>
            <w:pPr>
              <w:spacing w:line="240" w:lineRule="exact"/>
              <w:ind w:firstLineChars="100" w:firstLine="160"/>
              <w:jc w:val="center"/>
              <w:rPr>
                <w:rFonts w:ascii="ＭＳ ゴシック" w:eastAsia="ＭＳ ゴシック" w:hAnsi="ＭＳ ゴシック" w:cs="ＭＳ Ｐゴシック"/>
                <w:sz w:val="16"/>
                <w:szCs w:val="16"/>
              </w:rPr>
            </w:pPr>
            <w:r>
              <w:rPr>
                <w:rFonts w:ascii="ＭＳ ゴシック" w:eastAsia="ＭＳ ゴシック" w:hAnsi="ＭＳ ゴシック" w:cs="ＭＳ Ｐゴシック" w:hint="eastAsia"/>
                <w:color w:val="000000"/>
                <w:kern w:val="0"/>
                <w:sz w:val="16"/>
                <w:szCs w:val="16"/>
              </w:rPr>
              <w:t xml:space="preserve"> (①と②の比較)</w:t>
            </w:r>
          </w:p>
        </w:tc>
        <w:tc>
          <w:tcPr>
            <w:tcW w:w="1418" w:type="dxa"/>
            <w:tcBorders>
              <w:top w:val="single" w:sz="4" w:space="0" w:color="auto"/>
              <w:left w:val="nil"/>
              <w:bottom w:val="single" w:sz="4" w:space="0" w:color="auto"/>
              <w:right w:val="single" w:sz="4" w:space="0" w:color="auto"/>
            </w:tcBorders>
            <w:shd w:val="clear" w:color="000000" w:fill="FFF2CC"/>
            <w:noWrap/>
            <w:vAlign w:val="center"/>
          </w:tcPr>
          <w:p>
            <w:pPr>
              <w:widowControl/>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④最終年度目標</w:t>
            </w:r>
          </w:p>
          <w:p>
            <w:pPr>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（R5年度）</w:t>
            </w:r>
          </w:p>
          <w:p>
            <w:pPr>
              <w:spacing w:line="240" w:lineRule="exact"/>
              <w:jc w:val="center"/>
              <w:rPr>
                <w:rFonts w:ascii="ＭＳ ゴシック" w:eastAsia="ＭＳ ゴシック" w:hAnsi="ＭＳ ゴシック" w:cs="ＭＳ Ｐゴシック"/>
                <w:color w:val="000000"/>
                <w:kern w:val="0"/>
                <w:sz w:val="16"/>
                <w:szCs w:val="16"/>
              </w:rPr>
            </w:pPr>
            <w:r>
              <w:rPr>
                <w:rFonts w:ascii="ＭＳ ゴシック" w:eastAsia="ＭＳ ゴシック" w:hAnsi="ＭＳ ゴシック" w:cs="ＭＳ Ｐゴシック" w:hint="eastAsia"/>
                <w:color w:val="000000"/>
                <w:kern w:val="0"/>
                <w:sz w:val="16"/>
                <w:szCs w:val="16"/>
              </w:rPr>
              <w:t>【②の中間評価年度との比較】</w:t>
            </w:r>
          </w:p>
        </w:tc>
      </w:tr>
      <w:tr>
        <w:trPr>
          <w:trHeight w:val="432"/>
        </w:trPr>
        <w:tc>
          <w:tcPr>
            <w:tcW w:w="1413" w:type="dxa"/>
            <w:vMerge w:val="restart"/>
            <w:tcBorders>
              <w:top w:val="nil"/>
              <w:left w:val="single" w:sz="4" w:space="0" w:color="auto"/>
              <w:bottom w:val="single" w:sz="4" w:space="0" w:color="000000"/>
              <w:right w:val="single" w:sz="4" w:space="0" w:color="auto"/>
            </w:tcBorders>
            <w:shd w:val="clear" w:color="auto" w:fill="auto"/>
            <w:vAlign w:val="center"/>
            <w:hideMark/>
          </w:tcPr>
          <w:p>
            <w:pPr>
              <w:widowControl/>
              <w:jc w:val="center"/>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介護</w:t>
            </w:r>
          </w:p>
        </w:tc>
        <w:tc>
          <w:tcPr>
            <w:tcW w:w="2835" w:type="dxa"/>
            <w:gridSpan w:val="2"/>
            <w:tcBorders>
              <w:top w:val="nil"/>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認定率(1号)(％)</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15.9</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13.8</w:t>
            </w:r>
          </w:p>
        </w:tc>
        <w:tc>
          <w:tcPr>
            <w:tcW w:w="1701" w:type="dxa"/>
            <w:tcBorders>
              <w:top w:val="nil"/>
              <w:left w:val="nil"/>
              <w:bottom w:val="single" w:sz="4" w:space="0" w:color="auto"/>
              <w:right w:val="single" w:sz="4" w:space="0" w:color="auto"/>
            </w:tcBorders>
            <w:shd w:val="clear" w:color="auto" w:fill="auto"/>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減少</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r>
        <w:trPr>
          <w:trHeight w:val="432"/>
        </w:trPr>
        <w:tc>
          <w:tcPr>
            <w:tcW w:w="1413" w:type="dxa"/>
            <w:vMerge/>
            <w:tcBorders>
              <w:top w:val="nil"/>
              <w:left w:val="single" w:sz="4" w:space="0" w:color="auto"/>
              <w:bottom w:val="single" w:sz="4" w:space="0" w:color="000000"/>
              <w:right w:val="single" w:sz="4" w:space="0" w:color="auto"/>
            </w:tcBorders>
            <w:vAlign w:val="center"/>
            <w:hideMark/>
          </w:tcPr>
          <w:p>
            <w:pPr>
              <w:widowControl/>
              <w:jc w:val="left"/>
              <w:rPr>
                <w:rFonts w:ascii="ＭＳ ゴシック" w:eastAsia="ＭＳ ゴシック" w:hAnsi="ＭＳ ゴシック" w:cs="ＭＳ Ｐゴシック"/>
                <w:color w:val="000000" w:themeColor="text1"/>
                <w:kern w:val="0"/>
                <w:sz w:val="16"/>
                <w:szCs w:val="16"/>
              </w:rPr>
            </w:pP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1件当たり給付費(円)</w:t>
            </w:r>
          </w:p>
        </w:tc>
        <w:tc>
          <w:tcPr>
            <w:tcW w:w="1417"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56,879</w:t>
            </w:r>
          </w:p>
        </w:tc>
        <w:tc>
          <w:tcPr>
            <w:tcW w:w="1276"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57,552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pPr>
              <w:widowControl/>
              <w:ind w:firstLineChars="700" w:firstLine="1120"/>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増加</w:t>
            </w:r>
          </w:p>
        </w:tc>
        <w:tc>
          <w:tcPr>
            <w:tcW w:w="1418" w:type="dxa"/>
            <w:tcBorders>
              <w:top w:val="nil"/>
              <w:left w:val="nil"/>
              <w:bottom w:val="single" w:sz="4" w:space="0" w:color="auto"/>
              <w:right w:val="single" w:sz="4" w:space="0" w:color="auto"/>
            </w:tcBorders>
            <w:shd w:val="clear" w:color="auto" w:fill="auto"/>
            <w:noWrap/>
            <w:vAlign w:val="center"/>
            <w:hideMark/>
          </w:tcPr>
          <w:p>
            <w:pPr>
              <w:widowControl/>
              <w:jc w:val="right"/>
              <w:rPr>
                <w:rFonts w:ascii="ＭＳ ゴシック" w:eastAsia="ＭＳ ゴシック" w:hAnsi="ＭＳ ゴシック" w:cs="ＭＳ Ｐゴシック"/>
                <w:color w:val="000000" w:themeColor="text1"/>
                <w:kern w:val="0"/>
                <w:sz w:val="16"/>
                <w:szCs w:val="16"/>
              </w:rPr>
            </w:pPr>
            <w:r>
              <w:rPr>
                <w:rFonts w:ascii="ＭＳ ゴシック" w:eastAsia="ＭＳ ゴシック" w:hAnsi="ＭＳ ゴシック" w:cs="ＭＳ Ｐゴシック" w:hint="eastAsia"/>
                <w:color w:val="000000" w:themeColor="text1"/>
                <w:kern w:val="0"/>
                <w:sz w:val="16"/>
                <w:szCs w:val="16"/>
              </w:rPr>
              <w:t>維持</w:t>
            </w:r>
          </w:p>
        </w:tc>
      </w:tr>
    </w:tbl>
    <w:p>
      <w:pPr>
        <w:rPr>
          <w:rFonts w:ascii="ＭＳ ゴシック" w:eastAsia="ＭＳ ゴシック" w:hAnsi="ＭＳ ゴシック"/>
          <w:sz w:val="24"/>
          <w:szCs w:val="24"/>
        </w:rPr>
      </w:pPr>
      <w:r>
        <w:rPr>
          <w:rFonts w:ascii="ＭＳ ゴシック" w:eastAsia="ＭＳ ゴシック" w:hAnsi="ＭＳ ゴシック" w:hint="eastAsia"/>
          <w:sz w:val="24"/>
          <w:szCs w:val="24"/>
        </w:rPr>
        <w:t>※第６次総合計画目標値</w:t>
      </w: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r>
        <w:rPr>
          <w:noProof/>
        </w:rPr>
        <mc:AlternateContent>
          <mc:Choice Requires="wps">
            <w:drawing>
              <wp:anchor distT="0" distB="0" distL="114300" distR="114300" simplePos="0" relativeHeight="251753984" behindDoc="0" locked="0" layoutInCell="1" allowOverlap="1">
                <wp:simplePos x="0" y="0"/>
                <wp:positionH relativeFrom="margin">
                  <wp:posOffset>22860</wp:posOffset>
                </wp:positionH>
                <wp:positionV relativeFrom="paragraph">
                  <wp:posOffset>34925</wp:posOffset>
                </wp:positionV>
                <wp:extent cx="6343650" cy="2428875"/>
                <wp:effectExtent l="0" t="0" r="19050" b="28575"/>
                <wp:wrapNone/>
                <wp:docPr id="2" name="正方形/長方形 1"/>
                <wp:cNvGraphicFramePr/>
                <a:graphic xmlns:a="http://schemas.openxmlformats.org/drawingml/2006/main">
                  <a:graphicData uri="http://schemas.microsoft.com/office/word/2010/wordprocessingShape">
                    <wps:wsp>
                      <wps:cNvSpPr/>
                      <wps:spPr>
                        <a:xfrm>
                          <a:off x="0" y="0"/>
                          <a:ext cx="6343650" cy="2428875"/>
                        </a:xfrm>
                        <a:prstGeom prst="rect">
                          <a:avLst/>
                        </a:prstGeom>
                        <a:solidFill>
                          <a:sysClr val="window" lastClr="FFFFFF"/>
                        </a:solidFill>
                      </wps:spPr>
                      <wps:style>
                        <a:lnRef idx="2">
                          <a:schemeClr val="accent1">
                            <a:shade val="50000"/>
                          </a:schemeClr>
                        </a:lnRef>
                        <a:fillRef idx="1">
                          <a:schemeClr val="accent1"/>
                        </a:fillRef>
                        <a:effectRef idx="0">
                          <a:schemeClr val="accent1"/>
                        </a:effectRef>
                        <a:fontRef idx="minor">
                          <a:schemeClr val="lt1"/>
                        </a:fontRef>
                      </wps:style>
                      <wps:txbx>
                        <w:txbxContent>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【出典】</w:t>
                            </w:r>
                          </w:p>
                          <w:p>
                            <w:pPr>
                              <w:pStyle w:val="Web"/>
                              <w:spacing w:before="0" w:beforeAutospacing="0" w:after="0" w:afterAutospacing="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・埼玉県衛生研究所「健康指標総合ソフト」</w:t>
                            </w:r>
                          </w:p>
                          <w:p>
                            <w:pPr>
                              <w:pStyle w:val="Web"/>
                              <w:spacing w:before="0" w:beforeAutospacing="0" w:after="0" w:afterAutospacing="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・厚生労働省　人口動態特殊報告　人口動態　保健所市町村別</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・KDBシステム　健診・医療・介護からみる地域の健康課題</w:t>
                            </w:r>
                            <w:r>
                              <w:rPr>
                                <w:rFonts w:hint="eastAsia"/>
                                <w:sz w:val="22"/>
                                <w:szCs w:val="22"/>
                              </w:rPr>
                              <w:t>/</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 xml:space="preserve">・KDBシステム </w:t>
                            </w:r>
                            <w:r>
                              <w:rPr>
                                <w:rFonts w:ascii="ＭＳ ゴシック" w:eastAsia="ＭＳ ゴシック" w:hAnsi="ＭＳ ゴシック" w:cstheme="minorBidi"/>
                                <w:color w:val="000000"/>
                                <w:sz w:val="22"/>
                                <w:szCs w:val="22"/>
                              </w:rPr>
                              <w:t xml:space="preserve"> </w:t>
                            </w:r>
                            <w:r>
                              <w:rPr>
                                <w:rFonts w:ascii="ＭＳ ゴシック" w:eastAsia="ＭＳ ゴシック" w:hAnsi="ＭＳ ゴシック" w:cstheme="minorBidi" w:hint="eastAsia"/>
                                <w:color w:val="000000"/>
                                <w:sz w:val="22"/>
                                <w:szCs w:val="22"/>
                              </w:rPr>
                              <w:t>疾病別医療費分析(細小(82)分類)</w:t>
                            </w:r>
                          </w:p>
                          <w:p>
                            <w:pPr>
                              <w:pStyle w:val="Web"/>
                              <w:spacing w:before="0" w:beforeAutospacing="0" w:after="0" w:afterAutospacing="0"/>
                              <w:ind w:firstLineChars="50" w:firstLine="110"/>
                              <w:rPr>
                                <w:sz w:val="22"/>
                                <w:szCs w:val="22"/>
                              </w:rPr>
                            </w:pPr>
                            <w:r>
                              <w:rPr>
                                <w:rFonts w:hint="eastAsia"/>
                                <w:color w:val="000000" w:themeColor="text1"/>
                                <w:sz w:val="22"/>
                                <w:szCs w:val="22"/>
                              </w:rPr>
                              <w:t>・健診有所見者の状況（年齢調整済）（全国）（国保連合会より提供）</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・法定報告</w:t>
                            </w:r>
                          </w:p>
                          <w:p>
                            <w:pPr>
                              <w:pStyle w:val="Web"/>
                              <w:spacing w:before="0" w:beforeAutospacing="0" w:after="0" w:afterAutospacing="0"/>
                              <w:ind w:left="880" w:hangingChars="400" w:hanging="88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・KDBシステム「質問票調査の状況」を国立保健医療科学院「年齢調整・質問票調査の状況</w:t>
                            </w:r>
                          </w:p>
                          <w:p>
                            <w:pPr>
                              <w:pStyle w:val="Web"/>
                              <w:spacing w:before="0" w:beforeAutospacing="0" w:after="0" w:afterAutospacing="0"/>
                              <w:ind w:leftChars="100" w:left="870" w:hangingChars="300" w:hanging="66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ツール」で加工し作成</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 xml:space="preserve">・KDBシステム　地域の全体像の把握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id="正方形/長方形 1" o:spid="_x0000_s1031" style="position:absolute;left:0;text-align:left;margin-left:1.8pt;margin-top:2.75pt;width:499.5pt;height:191.25pt;z-index:2517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" fillcolor="window" strokecolor="#1f4d78 [1604]" strokeweight="1pt">
                <v:textbox>
                  <w:txbxContent>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【出典】</w:t>
                      </w:r>
                    </w:p>
                    <w:p>
                      <w:pPr>
                        <w:pStyle w:val="Web"/>
                        <w:spacing w:before="0" w:beforeAutospacing="0" w:after="0" w:afterAutospacing="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・埼玉県衛生研究所「健康指標総合ソフト」</w:t>
                      </w:r>
                    </w:p>
                    <w:p>
                      <w:pPr>
                        <w:pStyle w:val="Web"/>
                        <w:spacing w:before="0" w:beforeAutospacing="0" w:after="0" w:afterAutospacing="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・厚生労働省　人口動態特殊報告　人口動態　保健所市町村別</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・KDBシステム　健診・医療・介護からみる地域の健康課題</w:t>
                      </w:r>
                      <w:r>
                        <w:rPr>
                          <w:rFonts w:hint="eastAsia"/>
                          <w:sz w:val="22"/>
                          <w:szCs w:val="22"/>
                        </w:rPr>
                        <w:t>/</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w:t>
                      </w:r>
                      <w:r>
                        <w:rPr>
                          <w:rFonts w:ascii="ＭＳ ゴシック" w:eastAsia="ＭＳ ゴシック" w:hAnsi="ＭＳ ゴシック" w:cstheme="minorBidi" w:hint="eastAsia"/>
                          <w:color w:val="000000"/>
                          <w:sz w:val="22"/>
                          <w:szCs w:val="22"/>
                        </w:rPr>
                        <w:t>KDBシステム</w:t>
                      </w:r>
                      <w:r>
                        <w:rPr>
                          <w:rFonts w:ascii="ＭＳ ゴシック" w:eastAsia="ＭＳ ゴシック" w:hAnsi="ＭＳ ゴシック" w:cstheme="minorBidi" w:hint="eastAsia"/>
                          <w:color w:val="000000"/>
                          <w:sz w:val="22"/>
                          <w:szCs w:val="22"/>
                        </w:rPr>
                        <w:t xml:space="preserve"> </w:t>
                      </w:r>
                      <w:r>
                        <w:rPr>
                          <w:rFonts w:ascii="ＭＳ ゴシック" w:eastAsia="ＭＳ ゴシック" w:hAnsi="ＭＳ ゴシック" w:cstheme="minorBidi"/>
                          <w:color w:val="000000"/>
                          <w:sz w:val="22"/>
                          <w:szCs w:val="22"/>
                        </w:rPr>
                        <w:t xml:space="preserve"> </w:t>
                      </w:r>
                      <w:r>
                        <w:rPr>
                          <w:rFonts w:ascii="ＭＳ ゴシック" w:eastAsia="ＭＳ ゴシック" w:hAnsi="ＭＳ ゴシック" w:cstheme="minorBidi" w:hint="eastAsia"/>
                          <w:color w:val="000000"/>
                          <w:sz w:val="22"/>
                          <w:szCs w:val="22"/>
                        </w:rPr>
                        <w:t>疾病別医療費分析(細小(82)分類)</w:t>
                      </w:r>
                    </w:p>
                    <w:p>
                      <w:pPr>
                        <w:pStyle w:val="Web"/>
                        <w:spacing w:before="0" w:beforeAutospacing="0" w:after="0" w:afterAutospacing="0"/>
                        <w:ind w:firstLineChars="50" w:firstLine="110"/>
                        <w:rPr>
                          <w:sz w:val="22"/>
                          <w:szCs w:val="22"/>
                        </w:rPr>
                      </w:pPr>
                      <w:r>
                        <w:rPr>
                          <w:rFonts w:hint="eastAsia"/>
                          <w:color w:val="000000" w:themeColor="text1"/>
                          <w:sz w:val="22"/>
                          <w:szCs w:val="22"/>
                        </w:rPr>
                        <w:t>・健診有所見者の状況（年齢調整済）（全国）（国保連合会より提供）</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・法定報告</w:t>
                      </w:r>
                    </w:p>
                    <w:p>
                      <w:pPr>
                        <w:pStyle w:val="Web"/>
                        <w:spacing w:before="0" w:beforeAutospacing="0" w:after="0" w:afterAutospacing="0"/>
                        <w:ind w:left="880" w:hangingChars="400" w:hanging="88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・KDBシステム「質問票調査の状況」を国立保健医療科学院「年齢調整・質問票調査の状況</w:t>
                      </w:r>
                    </w:p>
                    <w:p>
                      <w:pPr>
                        <w:pStyle w:val="Web"/>
                        <w:spacing w:before="0" w:beforeAutospacing="0" w:after="0" w:afterAutospacing="0"/>
                        <w:ind w:leftChars="100" w:left="870" w:hangingChars="300" w:hanging="660"/>
                        <w:rPr>
                          <w:rFonts w:ascii="ＭＳ ゴシック" w:eastAsia="ＭＳ ゴシック" w:hAnsi="ＭＳ ゴシック" w:cstheme="minorBidi"/>
                          <w:color w:val="000000"/>
                          <w:sz w:val="22"/>
                          <w:szCs w:val="22"/>
                        </w:rPr>
                      </w:pPr>
                      <w:r>
                        <w:rPr>
                          <w:rFonts w:ascii="ＭＳ ゴシック" w:eastAsia="ＭＳ ゴシック" w:hAnsi="ＭＳ ゴシック" w:cstheme="minorBidi" w:hint="eastAsia"/>
                          <w:color w:val="000000"/>
                          <w:sz w:val="22"/>
                          <w:szCs w:val="22"/>
                        </w:rPr>
                        <w:t>ツール」で加工し作成</w:t>
                      </w:r>
                    </w:p>
                    <w:p>
                      <w:pPr>
                        <w:pStyle w:val="Web"/>
                        <w:spacing w:before="0" w:beforeAutospacing="0" w:after="0" w:afterAutospacing="0"/>
                        <w:rPr>
                          <w:sz w:val="22"/>
                          <w:szCs w:val="22"/>
                        </w:rPr>
                      </w:pPr>
                      <w:r>
                        <w:rPr>
                          <w:rFonts w:ascii="ＭＳ ゴシック" w:eastAsia="ＭＳ ゴシック" w:hAnsi="ＭＳ ゴシック" w:cstheme="minorBidi" w:hint="eastAsia"/>
                          <w:color w:val="000000"/>
                          <w:sz w:val="22"/>
                          <w:szCs w:val="22"/>
                        </w:rPr>
                        <w:t xml:space="preserve">・KDBシステム　地域の全体像の把握 </w:t>
                      </w:r>
                    </w:p>
                  </w:txbxContent>
                </v:textbox>
                <w10:wrap anchorx="margin"/>
              </v:rect>
            </w:pict>
          </mc:Fallback>
        </mc:AlternateContent>
      </w: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（３）各項目に基づく健康課題の把握</w:t>
      </w:r>
    </w:p>
    <w:p>
      <w:pPr>
        <w:pStyle w:val="a9"/>
        <w:numPr>
          <w:ilvl w:val="0"/>
          <w:numId w:val="39"/>
        </w:numPr>
        <w:ind w:leftChars="0" w:hanging="294"/>
        <w:rPr>
          <w:rFonts w:ascii="ＭＳ ゴシック" w:eastAsia="ＭＳ ゴシック" w:hAnsi="ＭＳ ゴシック"/>
          <w:sz w:val="24"/>
          <w:szCs w:val="24"/>
        </w:rPr>
      </w:pPr>
      <w:r>
        <w:rPr>
          <w:rFonts w:ascii="ＭＳ ゴシック" w:eastAsia="ＭＳ ゴシック" w:hAnsi="ＭＳ ゴシック" w:hint="eastAsia"/>
          <w:sz w:val="24"/>
          <w:szCs w:val="24"/>
        </w:rPr>
        <w:t>平均寿命と健康寿命</w:t>
      </w:r>
    </w:p>
    <w:p>
      <w:pPr>
        <w:pStyle w:val="a9"/>
        <w:ind w:leftChars="0" w:left="7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平成２７年の平均寿命は、男性８１．０３歳、女性８６．８５歳、平成３０年は、</w:t>
      </w:r>
    </w:p>
    <w:p>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男性８１．７２歳、女性８６．９８歳で男女ともに延伸しています。</w:t>
      </w:r>
    </w:p>
    <w:p>
      <w:pPr>
        <w:pStyle w:val="a9"/>
        <w:tabs>
          <w:tab w:val="left" w:pos="4962"/>
          <w:tab w:val="left" w:pos="5103"/>
        </w:tabs>
        <w:ind w:leftChars="0" w:left="7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６５歳健康寿命についても、平成２７年は男性１７．３８歳、女性２０．３４歳</w:t>
      </w:r>
    </w:p>
    <w:p>
      <w:pPr>
        <w:pStyle w:val="a9"/>
        <w:tabs>
          <w:tab w:val="left" w:pos="4962"/>
          <w:tab w:val="left" w:pos="5103"/>
        </w:tabs>
        <w:ind w:leftChars="0" w:left="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から平成３０年は、男性１７．８７歳、女性２０．７３歳と男女ともに延伸してい</w:t>
      </w:r>
    </w:p>
    <w:p>
      <w:pPr>
        <w:pStyle w:val="a9"/>
        <w:tabs>
          <w:tab w:val="left" w:pos="4962"/>
          <w:tab w:val="left" w:pos="5103"/>
        </w:tabs>
        <w:ind w:leftChars="0" w:left="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ます。また、いずれも埼玉県平均より高くなっています。</w:t>
      </w:r>
    </w:p>
    <w:p>
      <w:pPr>
        <w:pStyle w:val="a9"/>
        <w:ind w:leftChars="337" w:left="708"/>
        <w:jc w:val="left"/>
        <w:rPr>
          <w:rFonts w:ascii="ＭＳ ゴシック" w:eastAsia="ＭＳ ゴシック" w:hAnsi="ＭＳ ゴシック"/>
          <w:sz w:val="24"/>
          <w:szCs w:val="24"/>
        </w:rPr>
        <w:sectPr>
          <w:footerReference w:type="default" r:id="rId18"/>
          <w:type w:val="continuous"/>
          <w:pgSz w:w="11906" w:h="16838" w:code="9"/>
          <w:pgMar w:top="1276" w:right="1133" w:bottom="709" w:left="1134" w:header="851" w:footer="284" w:gutter="0"/>
          <w:pgNumType w:start="1"/>
          <w:cols w:space="425"/>
          <w:docGrid w:type="lines" w:linePitch="360"/>
        </w:sectPr>
      </w:pPr>
      <w:r>
        <w:rPr>
          <w:noProof/>
        </w:rPr>
        <w:drawing>
          <wp:inline distT="0" distB="0" distL="0" distR="0">
            <wp:extent cx="5572125" cy="2524125"/>
            <wp:effectExtent l="0" t="0" r="9525" b="9525"/>
            <wp:docPr id="16" name="グラフ 16">
              <a:extLst xmlns:a="http://schemas.openxmlformats.org/drawingml/2006/main">
                <a:ext uri="{FF2B5EF4-FFF2-40B4-BE49-F238E27FC236}">
                  <a16:creationId xmlns:a16="http://schemas.microsoft.com/office/drawing/2014/main" id="{483F41D2-8753-49A6-A2BF-9BCB73A92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a9"/>
        <w:tabs>
          <w:tab w:val="left" w:pos="2220"/>
        </w:tabs>
        <w:ind w:leftChars="0" w:left="0" w:firstLineChars="250" w:firstLine="600"/>
        <w:jc w:val="left"/>
        <w:rPr>
          <w:rFonts w:ascii="ＭＳ ゴシック" w:eastAsia="ＭＳ ゴシック" w:hAnsi="ＭＳ ゴシック" w:cstheme="minorBidi"/>
          <w:color w:val="000000" w:themeColor="dark1"/>
          <w:kern w:val="0"/>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1783680" behindDoc="0" locked="0" layoutInCell="1" allowOverlap="1">
                <wp:simplePos x="0" y="0"/>
                <wp:positionH relativeFrom="column">
                  <wp:posOffset>451485</wp:posOffset>
                </wp:positionH>
                <wp:positionV relativeFrom="paragraph">
                  <wp:posOffset>170815</wp:posOffset>
                </wp:positionV>
                <wp:extent cx="5610225" cy="857250"/>
                <wp:effectExtent l="0" t="0" r="0" b="0"/>
                <wp:wrapNone/>
                <wp:docPr id="1" name="正方形/長方形 1"/>
                <wp:cNvGraphicFramePr/>
                <a:graphic xmlns:a="http://schemas.openxmlformats.org/drawingml/2006/main">
                  <a:graphicData uri="http://schemas.microsoft.com/office/word/2010/wordprocessingShape">
                    <wps:wsp>
                      <wps:cNvSpPr/>
                      <wps:spPr>
                        <a:xfrm>
                          <a:off x="0" y="0"/>
                          <a:ext cx="5610225" cy="857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af5"/>
                              <w:tblW w:w="8784" w:type="dxa"/>
                              <w:jc w:val="center"/>
                              <w:tblLook w:val="04A0" w:firstRow="1" w:lastRow="0" w:firstColumn="1" w:lastColumn="0" w:noHBand="0" w:noVBand="1"/>
                            </w:tblPr>
                            <w:tblGrid>
                              <w:gridCol w:w="1134"/>
                              <w:gridCol w:w="2263"/>
                              <w:gridCol w:w="1843"/>
                              <w:gridCol w:w="1843"/>
                              <w:gridCol w:w="1701"/>
                            </w:tblGrid>
                            <w:tr>
                              <w:trPr>
                                <w:jc w:val="center"/>
                              </w:trPr>
                              <w:tc>
                                <w:tcPr>
                                  <w:tcW w:w="1134" w:type="dxa"/>
                                </w:tcPr>
                                <w:p>
                                  <w:pPr>
                                    <w:pStyle w:val="a9"/>
                                    <w:ind w:leftChars="0" w:left="0"/>
                                    <w:jc w:val="center"/>
                                    <w:rPr>
                                      <w:rFonts w:ascii="ＭＳ ゴシック" w:eastAsia="ＭＳ ゴシック" w:hAnsi="ＭＳ ゴシック" w:cstheme="minorBidi"/>
                                      <w:color w:val="000000" w:themeColor="text1"/>
                                      <w:kern w:val="0"/>
                                      <w:sz w:val="20"/>
                                      <w:szCs w:val="20"/>
                                    </w:rPr>
                                  </w:pPr>
                                </w:p>
                              </w:tc>
                              <w:tc>
                                <w:tcPr>
                                  <w:tcW w:w="2263" w:type="dxa"/>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鶴ヶ島市（男性）</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埼玉県（男性）</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鶴ヶ島市（女性）</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埼玉県（女性）</w:t>
                                  </w:r>
                                </w:p>
                              </w:tc>
                            </w:tr>
                            <w:tr>
                              <w:trPr>
                                <w:jc w:val="center"/>
                              </w:trPr>
                              <w:tc>
                                <w:tcPr>
                                  <w:tcW w:w="1134" w:type="dxa"/>
                                </w:tcPr>
                                <w:p>
                                  <w:pPr>
                                    <w:pStyle w:val="a9"/>
                                    <w:ind w:leftChars="0" w:left="0"/>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Ｈ２７</w:t>
                                  </w:r>
                                </w:p>
                              </w:tc>
                              <w:tc>
                                <w:tcPr>
                                  <w:tcW w:w="2263" w:type="dxa"/>
                                </w:tcPr>
                                <w:p>
                                  <w:pPr>
                                    <w:pStyle w:val="a9"/>
                                    <w:ind w:leftChars="0" w:left="0" w:right="45"/>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17.38</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17.19</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20.34</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20.05</w:t>
                                  </w:r>
                                </w:p>
                              </w:tc>
                            </w:tr>
                            <w:tr>
                              <w:trPr>
                                <w:jc w:val="center"/>
                              </w:trPr>
                              <w:tc>
                                <w:tcPr>
                                  <w:tcW w:w="1134" w:type="dxa"/>
                                </w:tcPr>
                                <w:p>
                                  <w:pPr>
                                    <w:pStyle w:val="a9"/>
                                    <w:ind w:leftChars="0" w:left="0" w:right="180"/>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 xml:space="preserve">Ｈ３０　</w:t>
                                  </w:r>
                                </w:p>
                              </w:tc>
                              <w:tc>
                                <w:tcPr>
                                  <w:tcW w:w="2263" w:type="dxa"/>
                                </w:tcPr>
                                <w:p>
                                  <w:pPr>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17.87</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17.64</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20.73</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20.46</w:t>
                                  </w:r>
                                </w:p>
                              </w:tc>
                            </w:tr>
                          </w:tbl>
                          <w:p>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35.55pt;margin-top:13.45pt;width:441.75pt;height:67.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" filled="f" stroked="f" strokeweight="1pt">
                <v:textbox>
                  <w:txbxContent>
                    <w:tbl>
                      <w:tblPr>
                        <w:tblStyle w:val="af5"/>
                        <w:tblW w:w="8784" w:type="dxa"/>
                        <w:jc w:val="center"/>
                        <w:tblLook w:val="04A0" w:firstRow="1" w:lastRow="0" w:firstColumn="1" w:lastColumn="0" w:noHBand="0" w:noVBand="1"/>
                      </w:tblPr>
                      <w:tblGrid>
                        <w:gridCol w:w="1134"/>
                        <w:gridCol w:w="2263"/>
                        <w:gridCol w:w="1843"/>
                        <w:gridCol w:w="1843"/>
                        <w:gridCol w:w="1701"/>
                      </w:tblGrid>
                      <w:tr>
                        <w:trPr>
                          <w:jc w:val="center"/>
                        </w:trPr>
                        <w:tc>
                          <w:tcPr>
                            <w:tcW w:w="1134" w:type="dxa"/>
                          </w:tcPr>
                          <w:p>
                            <w:pPr>
                              <w:pStyle w:val="a9"/>
                              <w:ind w:leftChars="0" w:left="0"/>
                              <w:jc w:val="center"/>
                              <w:rPr>
                                <w:rFonts w:ascii="ＭＳ ゴシック" w:eastAsia="ＭＳ ゴシック" w:hAnsi="ＭＳ ゴシック" w:cstheme="minorBidi"/>
                                <w:color w:val="000000" w:themeColor="text1"/>
                                <w:kern w:val="0"/>
                                <w:sz w:val="20"/>
                                <w:szCs w:val="20"/>
                              </w:rPr>
                            </w:pPr>
                          </w:p>
                        </w:tc>
                        <w:tc>
                          <w:tcPr>
                            <w:tcW w:w="2263" w:type="dxa"/>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鶴ヶ島市（男性）</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埼玉県（男性）</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鶴ヶ島市（女性）</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0"/>
                                <w:szCs w:val="20"/>
                              </w:rPr>
                            </w:pPr>
                            <w:r>
                              <w:rPr>
                                <w:rFonts w:ascii="ＭＳ ゴシック" w:eastAsia="ＭＳ ゴシック" w:hAnsi="ＭＳ ゴシック" w:cstheme="minorBidi" w:hint="eastAsia"/>
                                <w:color w:val="000000" w:themeColor="text1"/>
                                <w:kern w:val="0"/>
                                <w:sz w:val="20"/>
                                <w:szCs w:val="20"/>
                              </w:rPr>
                              <w:t>埼玉県（女性）</w:t>
                            </w:r>
                          </w:p>
                        </w:tc>
                      </w:tr>
                      <w:tr>
                        <w:trPr>
                          <w:jc w:val="center"/>
                        </w:trPr>
                        <w:tc>
                          <w:tcPr>
                            <w:tcW w:w="1134" w:type="dxa"/>
                          </w:tcPr>
                          <w:p>
                            <w:pPr>
                              <w:pStyle w:val="a9"/>
                              <w:ind w:leftChars="0" w:left="0"/>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Ｈ２７</w:t>
                            </w:r>
                          </w:p>
                        </w:tc>
                        <w:tc>
                          <w:tcPr>
                            <w:tcW w:w="2263" w:type="dxa"/>
                          </w:tcPr>
                          <w:p>
                            <w:pPr>
                              <w:pStyle w:val="a9"/>
                              <w:ind w:leftChars="0" w:left="0" w:right="45"/>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17.38</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17.19</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20.34</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20.05</w:t>
                            </w:r>
                          </w:p>
                        </w:tc>
                      </w:tr>
                      <w:tr>
                        <w:trPr>
                          <w:jc w:val="center"/>
                        </w:trPr>
                        <w:tc>
                          <w:tcPr>
                            <w:tcW w:w="1134" w:type="dxa"/>
                          </w:tcPr>
                          <w:p>
                            <w:pPr>
                              <w:pStyle w:val="a9"/>
                              <w:ind w:leftChars="0" w:left="0" w:right="180"/>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 xml:space="preserve">Ｈ３０　</w:t>
                            </w:r>
                          </w:p>
                        </w:tc>
                        <w:tc>
                          <w:tcPr>
                            <w:tcW w:w="2263" w:type="dxa"/>
                          </w:tcPr>
                          <w:p>
                            <w:pPr>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17.87</w:t>
                            </w:r>
                          </w:p>
                        </w:tc>
                        <w:tc>
                          <w:tcPr>
                            <w:tcW w:w="1843" w:type="dxa"/>
                            <w:tcBorders>
                              <w:righ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17.64</w:t>
                            </w:r>
                          </w:p>
                        </w:tc>
                        <w:tc>
                          <w:tcPr>
                            <w:tcW w:w="1843" w:type="dxa"/>
                            <w:tcBorders>
                              <w:left w:val="double" w:sz="4" w:space="0" w:color="000000"/>
                            </w:tcBorders>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20.73</w:t>
                            </w:r>
                          </w:p>
                        </w:tc>
                        <w:tc>
                          <w:tcPr>
                            <w:tcW w:w="1701" w:type="dxa"/>
                          </w:tcPr>
                          <w:p>
                            <w:pPr>
                              <w:pStyle w:val="a9"/>
                              <w:ind w:leftChars="0" w:left="0"/>
                              <w:jc w:val="center"/>
                              <w:rPr>
                                <w:rFonts w:ascii="ＭＳ ゴシック" w:eastAsia="ＭＳ ゴシック" w:hAnsi="ＭＳ ゴシック" w:cstheme="minorBidi"/>
                                <w:color w:val="000000" w:themeColor="text1"/>
                                <w:kern w:val="0"/>
                                <w:sz w:val="24"/>
                                <w:szCs w:val="24"/>
                              </w:rPr>
                            </w:pPr>
                            <w:r>
                              <w:rPr>
                                <w:rFonts w:ascii="ＭＳ ゴシック" w:eastAsia="ＭＳ ゴシック" w:hAnsi="ＭＳ ゴシック" w:cstheme="minorBidi" w:hint="eastAsia"/>
                                <w:color w:val="000000" w:themeColor="text1"/>
                                <w:kern w:val="0"/>
                                <w:sz w:val="24"/>
                                <w:szCs w:val="24"/>
                              </w:rPr>
                              <w:t>20.46</w:t>
                            </w:r>
                          </w:p>
                        </w:tc>
                      </w:tr>
                    </w:tbl>
                    <w:p>
                      <w:pPr>
                        <w:jc w:val="center"/>
                      </w:pPr>
                    </w:p>
                  </w:txbxContent>
                </v:textbox>
              </v:rect>
            </w:pict>
          </mc:Fallback>
        </mc:AlternateContent>
      </w:r>
      <w:r>
        <w:rPr>
          <w:rFonts w:ascii="ＭＳ ゴシック" w:eastAsia="ＭＳ ゴシック" w:hAnsi="ＭＳ ゴシック" w:cstheme="minorBidi" w:hint="eastAsia"/>
          <w:color w:val="000000" w:themeColor="dark1"/>
          <w:kern w:val="0"/>
          <w:sz w:val="24"/>
          <w:szCs w:val="24"/>
        </w:rPr>
        <w:t>【表１】６５歳健康寿命の推移</w:t>
      </w:r>
    </w:p>
    <w:p>
      <w:pPr>
        <w:pStyle w:val="a9"/>
        <w:ind w:leftChars="0" w:left="0" w:right="180"/>
        <w:jc w:val="right"/>
        <w:rPr>
          <w:rFonts w:asciiTheme="majorEastAsia" w:eastAsiaTheme="majorEastAsia" w:hAnsiTheme="majorEastAsia" w:cstheme="minorBidi"/>
          <w:color w:val="000000" w:themeColor="dark1"/>
          <w:kern w:val="0"/>
          <w:sz w:val="18"/>
          <w:szCs w:val="18"/>
        </w:rPr>
      </w:pPr>
    </w:p>
    <w:p>
      <w:pPr>
        <w:pStyle w:val="a9"/>
        <w:ind w:leftChars="0" w:left="0" w:right="180"/>
        <w:jc w:val="right"/>
        <w:rPr>
          <w:rFonts w:asciiTheme="majorEastAsia" w:eastAsiaTheme="majorEastAsia" w:hAnsiTheme="majorEastAsia" w:cstheme="minorBidi"/>
          <w:color w:val="000000" w:themeColor="dark1"/>
          <w:kern w:val="0"/>
          <w:sz w:val="18"/>
          <w:szCs w:val="18"/>
        </w:rPr>
      </w:pPr>
    </w:p>
    <w:p>
      <w:pPr>
        <w:pStyle w:val="a9"/>
        <w:ind w:leftChars="0" w:left="0" w:right="180"/>
        <w:jc w:val="right"/>
        <w:rPr>
          <w:rFonts w:asciiTheme="majorEastAsia" w:eastAsiaTheme="majorEastAsia" w:hAnsiTheme="majorEastAsia" w:cstheme="minorBidi"/>
          <w:color w:val="000000" w:themeColor="dark1"/>
          <w:kern w:val="0"/>
          <w:sz w:val="18"/>
          <w:szCs w:val="18"/>
        </w:rPr>
      </w:pPr>
    </w:p>
    <w:p>
      <w:pPr>
        <w:pStyle w:val="a9"/>
        <w:ind w:leftChars="0" w:left="0" w:right="180"/>
        <w:jc w:val="right"/>
        <w:rPr>
          <w:rFonts w:asciiTheme="majorEastAsia" w:eastAsiaTheme="majorEastAsia" w:hAnsiTheme="majorEastAsia" w:cstheme="minorBidi"/>
          <w:color w:val="000000" w:themeColor="dark1"/>
          <w:kern w:val="0"/>
          <w:sz w:val="18"/>
          <w:szCs w:val="18"/>
        </w:rPr>
      </w:pPr>
      <w:r>
        <w:rPr>
          <w:rFonts w:asciiTheme="majorEastAsia" w:eastAsiaTheme="majorEastAsia" w:hAnsiTheme="majorEastAsia" w:cstheme="minorBidi" w:hint="eastAsia"/>
          <w:color w:val="000000" w:themeColor="dark1"/>
          <w:kern w:val="0"/>
          <w:sz w:val="18"/>
          <w:szCs w:val="18"/>
        </w:rPr>
        <w:t>出典：埼玉県衛生研究所「健康指標総合ソフト」</w:t>
      </w: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死亡の状況</w:t>
      </w:r>
    </w:p>
    <w:p>
      <w:pPr>
        <w:ind w:leftChars="350" w:left="735" w:firstLineChars="90" w:firstLine="216"/>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鶴ヶ島市の死因別死亡割合をみると、悪性新生物が最も高く、次いで心疾患、老</w:t>
      </w:r>
    </w:p>
    <w:p>
      <w:pPr>
        <w:ind w:leftChars="338" w:left="734" w:hangingChars="10" w:hanging="24"/>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衰となっています。</w:t>
      </w:r>
      <w:r>
        <w:rPr>
          <w:noProof/>
        </w:rPr>
        <w:drawing>
          <wp:inline distT="0" distB="0" distL="0" distR="0">
            <wp:extent cx="5591175" cy="2905125"/>
            <wp:effectExtent l="0" t="0" r="9525" b="9525"/>
            <wp:docPr id="14" name="グラフ 14">
              <a:extLst xmlns:a="http://schemas.openxmlformats.org/drawingml/2006/main">
                <a:ext uri="{FF2B5EF4-FFF2-40B4-BE49-F238E27FC236}">
                  <a16:creationId xmlns:a16="http://schemas.microsoft.com/office/drawing/2014/main" id="{00000000-0008-0000-0100-00005DEAD1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tabs>
          <w:tab w:val="left" w:pos="426"/>
        </w:tabs>
        <w:ind w:right="180" w:firstLineChars="405" w:firstLine="729"/>
        <w:jc w:val="right"/>
        <w:rPr>
          <w:rFonts w:asciiTheme="majorEastAsia" w:eastAsiaTheme="majorEastAsia" w:hAnsiTheme="majorEastAsia"/>
          <w:sz w:val="24"/>
          <w:szCs w:val="24"/>
        </w:rPr>
      </w:pPr>
      <w:r>
        <w:rPr>
          <w:rFonts w:asciiTheme="majorEastAsia" w:eastAsiaTheme="majorEastAsia" w:hAnsiTheme="majorEastAsia" w:cstheme="minorBidi" w:hint="eastAsia"/>
          <w:color w:val="000000" w:themeColor="dark1"/>
          <w:kern w:val="0"/>
          <w:sz w:val="18"/>
          <w:szCs w:val="18"/>
        </w:rPr>
        <w:t>出典：埼玉県衛生研究所「健康指標総合ソフト」</w:t>
      </w: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標準化死亡比</w:t>
      </w:r>
      <w:r>
        <w:rPr>
          <w:rFonts w:ascii="ＭＳ ゴシック" w:eastAsia="ＭＳ ゴシック" w:hAnsi="ＭＳ ゴシック"/>
          <w:sz w:val="24"/>
          <w:szCs w:val="24"/>
        </w:rPr>
        <w:t>(</w:t>
      </w:r>
      <w:r>
        <w:rPr>
          <w:rFonts w:ascii="ＭＳ ゴシック" w:eastAsia="ＭＳ ゴシック" w:hAnsi="ＭＳ ゴシック" w:hint="eastAsia"/>
          <w:sz w:val="24"/>
          <w:szCs w:val="24"/>
        </w:rPr>
        <w:t>ＳＭＲ)</w:t>
      </w:r>
    </w:p>
    <w:p>
      <w:pPr>
        <w:ind w:leftChars="350" w:left="73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全国を１００とした標準化死亡比で比較すると、鶴ヶ島市では女性の心筋梗塞の</w:t>
      </w:r>
    </w:p>
    <w:p>
      <w:pPr>
        <w:ind w:leftChars="338" w:left="734" w:hangingChars="10" w:hanging="24"/>
        <w:rPr>
          <w:rFonts w:ascii="ＭＳ ゴシック" w:eastAsia="ＭＳ ゴシック" w:hAnsi="ＭＳ ゴシック"/>
          <w:sz w:val="24"/>
          <w:szCs w:val="24"/>
        </w:rPr>
      </w:pPr>
      <w:r>
        <w:rPr>
          <w:rFonts w:ascii="ＭＳ ゴシック" w:eastAsia="ＭＳ ゴシック" w:hAnsi="ＭＳ ゴシック" w:hint="eastAsia"/>
          <w:sz w:val="24"/>
          <w:szCs w:val="24"/>
        </w:rPr>
        <w:t>割合が高くなっています。男性は全ての疾病の割合で低い状況になっています。</w:t>
      </w:r>
    </w:p>
    <w:p>
      <w:pPr>
        <w:ind w:leftChars="337" w:left="708"/>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extent cx="5690235" cy="3375498"/>
            <wp:effectExtent l="0" t="0" r="5715" b="15875"/>
            <wp:docPr id="11" name="グラフ 1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ind w:leftChars="337" w:left="708"/>
        <w:rPr>
          <w:rFonts w:ascii="ＭＳ ゴシック" w:eastAsia="ＭＳ ゴシック" w:hAnsi="ＭＳ ゴシック"/>
          <w:sz w:val="24"/>
          <w:szCs w:val="24"/>
        </w:rPr>
      </w:pPr>
      <w:r>
        <w:rPr>
          <w:noProof/>
        </w:rPr>
        <mc:AlternateContent>
          <mc:Choice Requires="wps">
            <w:drawing>
              <wp:anchor distT="0" distB="0" distL="114300" distR="114300" simplePos="0" relativeHeight="251773440" behindDoc="0" locked="0" layoutInCell="1" allowOverlap="1">
                <wp:simplePos x="0" y="0"/>
                <wp:positionH relativeFrom="page">
                  <wp:posOffset>1410754</wp:posOffset>
                </wp:positionH>
                <wp:positionV relativeFrom="paragraph">
                  <wp:posOffset>3857017</wp:posOffset>
                </wp:positionV>
                <wp:extent cx="6254885" cy="303503"/>
                <wp:effectExtent l="0" t="0" r="0" b="1905"/>
                <wp:wrapNone/>
                <wp:docPr id="8" name="正方形/長方形 1">
                  <a:extLst xmlns:a="http://schemas.openxmlformats.org/drawingml/2006/main"/>
                </wp:docPr>
                <wp:cNvGraphicFramePr/>
                <a:graphic xmlns:a="http://schemas.openxmlformats.org/drawingml/2006/main">
                  <a:graphicData uri="http://schemas.microsoft.com/office/word/2010/wordprocessingShape">
                    <wps:wsp>
                      <wps:cNvSpPr/>
                      <wps:spPr>
                        <a:xfrm>
                          <a:off x="0" y="0"/>
                          <a:ext cx="6254885" cy="303503"/>
                        </a:xfrm>
                        <a:prstGeom prst="rect">
                          <a:avLst/>
                        </a:prstGeom>
                        <a:noFill/>
                        <a:ln w="12700" cap="flat" cmpd="sng" algn="ctr">
                          <a:noFill/>
                          <a:prstDash val="solid"/>
                          <a:miter lim="800000"/>
                        </a:ln>
                        <a:effectLst/>
                      </wps:spPr>
                      <wps:txbx>
                        <w:txbxContent>
                          <w:p>
                            <w:pPr>
                              <w:pStyle w:val="Web"/>
                              <w:spacing w:before="0" w:beforeAutospacing="0" w:after="0" w:afterAutospacing="0"/>
                              <w:jc w:val="center"/>
                            </w:pPr>
                            <w:r>
                              <w:rPr>
                                <w:rFonts w:cstheme="minorBidi" w:hint="eastAsia"/>
                                <w:color w:val="000000" w:themeColor="dark1"/>
                                <w:sz w:val="18"/>
                                <w:szCs w:val="18"/>
                              </w:rPr>
                              <w:t>出典：厚生労働省　人口動態統計特殊報告　人口動態保健所・市区町村別統計（平成25～29年）</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111.1pt;margin-top:303.7pt;width:492.5pt;height:23.9pt;z-index:25177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" filled="f" stroked="f" strokeweight="1pt">
                <v:textbox>
                  <w:txbxContent>
                    <w:p>
                      <w:pPr>
                        <w:pStyle w:val="Web"/>
                        <w:spacing w:before="0" w:beforeAutospacing="0" w:after="0" w:afterAutospacing="0"/>
                        <w:jc w:val="center"/>
                      </w:pPr>
                      <w:r>
                        <w:rPr>
                          <w:rFonts w:cstheme="minorBidi" w:hint="eastAsia"/>
                          <w:color w:val="000000" w:themeColor="dark1"/>
                          <w:sz w:val="18"/>
                          <w:szCs w:val="18"/>
                        </w:rPr>
                        <w:t>出典：厚生労働省　人口動態統計特殊報告　人口動態保健所・市区町村別統計（平成25～29年）</w:t>
                      </w:r>
                    </w:p>
                  </w:txbxContent>
                </v:textbox>
                <w10:wrap anchorx="page"/>
              </v:rect>
            </w:pict>
          </mc:Fallback>
        </mc:AlternateContent>
      </w:r>
      <w:r>
        <w:rPr>
          <w:rFonts w:ascii="ＭＳ ゴシック" w:eastAsia="ＭＳ ゴシック" w:hAnsi="ＭＳ ゴシック"/>
          <w:noProof/>
          <w:sz w:val="24"/>
          <w:szCs w:val="24"/>
        </w:rPr>
        <w:drawing>
          <wp:inline distT="0" distB="0" distL="0" distR="0">
            <wp:extent cx="5690235" cy="3677055"/>
            <wp:effectExtent l="0" t="0" r="5715" b="0"/>
            <wp:docPr id="13" name="グラフ 1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rPr>
          <w:rFonts w:ascii="ＭＳ ゴシック" w:eastAsia="ＭＳ ゴシック" w:hAnsi="ＭＳ ゴシック"/>
          <w:sz w:val="24"/>
          <w:szCs w:val="24"/>
        </w:rPr>
      </w:pP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人口と国民健康保険被保険者の状況</w:t>
      </w:r>
    </w:p>
    <w:p>
      <w:pPr>
        <w:ind w:leftChars="200" w:left="420" w:firstLineChars="140" w:firstLine="336"/>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鶴ヶ島市の総人口は平成２８年度以降、多少の増減はありますが、ほぼ変わらず横</w:t>
      </w:r>
    </w:p>
    <w:p>
      <w:pPr>
        <w:ind w:firstLineChars="200" w:firstLine="48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ばいの状況です。国民健康保険加入者は、平成２８年度以降減少し続けています。</w:t>
      </w:r>
    </w:p>
    <w:p>
      <w:pPr>
        <w:ind w:leftChars="200" w:left="420" w:firstLineChars="2" w:firstLine="4"/>
        <w:jc w:val="left"/>
        <w:rPr>
          <w:rFonts w:ascii="ＭＳ ゴシック" w:eastAsia="ＭＳ ゴシック" w:hAnsi="ＭＳ ゴシック"/>
          <w:sz w:val="24"/>
          <w:szCs w:val="24"/>
        </w:rPr>
      </w:pPr>
      <w:r>
        <w:rPr>
          <w:noProof/>
        </w:rPr>
        <w:drawing>
          <wp:inline distT="0" distB="0" distL="0" distR="0">
            <wp:extent cx="5848350" cy="3326130"/>
            <wp:effectExtent l="0" t="0" r="0" b="7620"/>
            <wp:docPr id="7" name="グラフ 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ind w:leftChars="200" w:left="420" w:firstLineChars="140" w:firstLine="336"/>
        <w:jc w:val="left"/>
        <w:rPr>
          <w:rFonts w:asciiTheme="majorEastAsia" w:eastAsiaTheme="majorEastAsia" w:hAnsiTheme="majorEastAsia" w:cstheme="minorBidi"/>
          <w:color w:val="000000" w:themeColor="dark1"/>
          <w:kern w:val="0"/>
          <w:sz w:val="18"/>
          <w:szCs w:val="18"/>
        </w:rPr>
      </w:pPr>
      <w:r>
        <w:rPr>
          <w:rFonts w:ascii="ＭＳ ゴシック" w:eastAsia="ＭＳ ゴシック" w:hAnsi="ＭＳ ゴシック" w:hint="eastAsia"/>
          <w:sz w:val="24"/>
          <w:szCs w:val="24"/>
        </w:rPr>
        <w:t xml:space="preserve"> </w:t>
      </w:r>
      <w:r>
        <w:rPr>
          <w:rFonts w:asciiTheme="minorHAnsi" w:eastAsiaTheme="minorEastAsia" w:hAnsi="ＭＳ 明朝" w:cstheme="minorBidi" w:hint="eastAsia"/>
          <w:color w:val="000000" w:themeColor="dark1"/>
          <w:kern w:val="0"/>
          <w:sz w:val="18"/>
          <w:szCs w:val="18"/>
        </w:rPr>
        <w:t xml:space="preserve">　　　　　　　　　　　　　　　　　　</w:t>
      </w:r>
      <w:r>
        <w:rPr>
          <w:rFonts w:asciiTheme="majorEastAsia" w:eastAsiaTheme="majorEastAsia" w:hAnsiTheme="majorEastAsia" w:cstheme="minorBidi" w:hint="eastAsia"/>
          <w:color w:val="000000" w:themeColor="dark1"/>
          <w:kern w:val="0"/>
          <w:sz w:val="18"/>
          <w:szCs w:val="18"/>
        </w:rPr>
        <w:t>出典：埼玉県町（丁）字別人口調査、国民健康保険事業状況報告書</w:t>
      </w:r>
    </w:p>
    <w:p>
      <w:pPr>
        <w:ind w:leftChars="200" w:left="420" w:firstLineChars="140" w:firstLine="252"/>
        <w:jc w:val="left"/>
        <w:rPr>
          <w:rFonts w:asciiTheme="majorEastAsia" w:eastAsiaTheme="majorEastAsia" w:hAnsiTheme="majorEastAsia" w:cstheme="minorBidi"/>
          <w:color w:val="000000" w:themeColor="dark1"/>
          <w:kern w:val="0"/>
          <w:sz w:val="18"/>
          <w:szCs w:val="18"/>
        </w:rPr>
      </w:pP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特定健康診査受診率</w:t>
      </w:r>
    </w:p>
    <w:p>
      <w:pPr>
        <w:ind w:left="480" w:hangingChars="200" w:hanging="48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平成２８年度から平成３０年度までは、埼玉県平均より低い状況でしたが、令和元</w:t>
      </w:r>
    </w:p>
    <w:p>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年度は</w:t>
      </w:r>
      <w:r>
        <w:rPr>
          <w:rFonts w:ascii="ＭＳ ゴシック" w:eastAsia="ＭＳ ゴシック" w:hAnsi="ＭＳ ゴシック" w:cs="Meiryo UI" w:hint="eastAsia"/>
          <w:color w:val="000000" w:themeColor="text1"/>
          <w:sz w:val="24"/>
          <w:szCs w:val="24"/>
        </w:rPr>
        <w:t>、受診率が上昇し、埼玉県</w:t>
      </w:r>
      <w:r>
        <w:rPr>
          <w:rFonts w:ascii="ＭＳ ゴシック" w:eastAsia="ＭＳ ゴシック" w:hAnsi="ＭＳ ゴシック" w:hint="eastAsia"/>
          <w:sz w:val="24"/>
          <w:szCs w:val="24"/>
        </w:rPr>
        <w:t>平均を上回っています。</w:t>
      </w:r>
    </w:p>
    <w:p>
      <w:pPr>
        <w:ind w:leftChars="200" w:left="420" w:firstLineChars="2" w:firstLine="4"/>
        <w:rPr>
          <w:rFonts w:ascii="ＭＳ ゴシック" w:eastAsia="ＭＳ ゴシック" w:hAnsi="ＭＳ ゴシック"/>
          <w:sz w:val="24"/>
          <w:szCs w:val="24"/>
        </w:rPr>
      </w:pPr>
      <w:r>
        <w:rPr>
          <w:noProof/>
        </w:rPr>
        <w:drawing>
          <wp:inline distT="0" distB="0" distL="0" distR="0">
            <wp:extent cx="5838825" cy="3438525"/>
            <wp:effectExtent l="0" t="0" r="9525" b="9525"/>
            <wp:docPr id="25" name="グラフ 25">
              <a:extLst xmlns:a="http://schemas.openxmlformats.org/drawingml/2006/main">
                <a:ext uri="{FF2B5EF4-FFF2-40B4-BE49-F238E27FC236}">
                  <a16:creationId xmlns:a16="http://schemas.microsoft.com/office/drawing/2014/main" id="{A72D3198-B536-40F1-9D9C-D724F58B18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ind w:leftChars="200" w:left="420" w:firstLineChars="4302" w:firstLine="7744"/>
        <w:rPr>
          <w:rFonts w:ascii="ＭＳ ゴシック" w:eastAsia="ＭＳ ゴシック" w:hAnsi="ＭＳ ゴシック"/>
          <w:sz w:val="18"/>
          <w:szCs w:val="18"/>
        </w:rPr>
      </w:pPr>
      <w:r>
        <w:rPr>
          <w:rFonts w:ascii="ＭＳ ゴシック" w:eastAsia="ＭＳ ゴシック" w:hAnsi="ＭＳ ゴシック" w:hint="eastAsia"/>
          <w:sz w:val="18"/>
          <w:szCs w:val="18"/>
        </w:rPr>
        <w:t>出典：法定報告</w:t>
      </w:r>
    </w:p>
    <w:p>
      <w:pPr>
        <w:ind w:leftChars="200" w:left="420" w:firstLineChars="4302" w:firstLine="7744"/>
        <w:rPr>
          <w:rFonts w:ascii="ＭＳ ゴシック" w:eastAsia="ＭＳ ゴシック" w:hAnsi="ＭＳ ゴシック"/>
          <w:sz w:val="18"/>
          <w:szCs w:val="18"/>
        </w:rPr>
      </w:pPr>
    </w:p>
    <w:p>
      <w:pPr>
        <w:pStyle w:val="a9"/>
        <w:numPr>
          <w:ilvl w:val="0"/>
          <w:numId w:val="39"/>
        </w:numPr>
        <w:ind w:leftChars="0" w:left="709" w:hanging="425"/>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特定健診診査受診者の有所見状況</w:t>
      </w:r>
    </w:p>
    <w:p>
      <w:pPr>
        <w:ind w:leftChars="202" w:left="424" w:firstLineChars="59" w:firstLine="142"/>
        <w:rPr>
          <w:rFonts w:ascii="ＭＳ ゴシック" w:eastAsia="ＭＳ ゴシック" w:hAnsi="ＭＳ ゴシック"/>
          <w:sz w:val="24"/>
          <w:szCs w:val="24"/>
        </w:rPr>
      </w:pPr>
      <w:r>
        <w:rPr>
          <w:rFonts w:ascii="ＭＳ ゴシック" w:eastAsia="ＭＳ ゴシック" w:hAnsi="ＭＳ ゴシック" w:hint="eastAsia"/>
          <w:sz w:val="24"/>
          <w:szCs w:val="24"/>
        </w:rPr>
        <w:t>令和元年度の特定健康診査受診者の有所見者状況（年齢調整ツールで加工）をみると、男女ともに中性脂肪、HbA1c、収縮期血圧が全国と比較して有意に少なくなっています。</w:t>
      </w:r>
    </w:p>
    <w:p>
      <w:pPr>
        <w:ind w:firstLineChars="250" w:firstLine="600"/>
        <w:rPr>
          <w:rFonts w:ascii="ＭＳ ゴシック" w:eastAsia="ＭＳ ゴシック" w:hAnsi="ＭＳ ゴシック"/>
          <w:sz w:val="24"/>
          <w:szCs w:val="24"/>
        </w:rPr>
      </w:pPr>
      <w:r>
        <w:rPr>
          <w:rFonts w:ascii="ＭＳ ゴシック" w:eastAsia="ＭＳ ゴシック" w:hAnsi="ＭＳ ゴシック" w:hint="eastAsia"/>
          <w:sz w:val="24"/>
          <w:szCs w:val="24"/>
        </w:rPr>
        <w:t>男性は拡張期血圧、女性はHDLコレステロールの有所見者が少なくなっています。</w:t>
      </w:r>
    </w:p>
    <w:p>
      <w:pPr>
        <w:ind w:leftChars="200" w:left="420" w:firstLineChars="50" w:firstLine="105"/>
        <w:rPr>
          <w:rFonts w:ascii="ＭＳ ゴシック" w:eastAsia="ＭＳ ゴシック" w:hAnsi="ＭＳ ゴシック"/>
          <w:sz w:val="24"/>
          <w:szCs w:val="24"/>
        </w:rPr>
      </w:pPr>
      <w:r>
        <w:rPr>
          <w:rFonts w:ascii="ＭＳ ゴシック" w:eastAsia="ＭＳ ゴシック" w:hAnsi="ＭＳ ゴシック"/>
          <w:noProof/>
        </w:rPr>
        <w:drawing>
          <wp:anchor distT="0" distB="0" distL="114300" distR="114300" simplePos="0" relativeHeight="251767296" behindDoc="0" locked="0" layoutInCell="1" allowOverlap="1">
            <wp:simplePos x="0" y="0"/>
            <wp:positionH relativeFrom="margin">
              <wp:posOffset>184785</wp:posOffset>
            </wp:positionH>
            <wp:positionV relativeFrom="paragraph">
              <wp:posOffset>523240</wp:posOffset>
            </wp:positionV>
            <wp:extent cx="5943600" cy="3371850"/>
            <wp:effectExtent l="0" t="0" r="0" b="0"/>
            <wp:wrapSquare wrapText="bothSides"/>
            <wp:docPr id="10" name="グラフ 10">
              <a:extLst xmlns:a="http://schemas.openxmlformats.org/drawingml/2006/main">
                <a:ext uri="{FF2B5EF4-FFF2-40B4-BE49-F238E27FC236}">
                  <a16:creationId xmlns:a16="http://schemas.microsoft.com/office/drawing/2014/main" id="{82865F65-7840-48C5-9FF0-4ABFB14F8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hint="eastAsia"/>
          <w:sz w:val="24"/>
          <w:szCs w:val="24"/>
        </w:rPr>
        <w:t>一方、血管を傷つける因子であるLDL（悪玉）コレステロールの有所見者は男性で有意に多くなっています。</w:t>
      </w:r>
    </w:p>
    <w:p>
      <w:pPr>
        <w:ind w:firstLineChars="177" w:firstLine="283"/>
        <w:rPr>
          <w:rFonts w:cstheme="minorBidi"/>
          <w:color w:val="000000" w:themeColor="dark1"/>
          <w:sz w:val="16"/>
          <w:szCs w:val="16"/>
        </w:rPr>
      </w:pPr>
    </w:p>
    <w:p>
      <w:pPr>
        <w:pStyle w:val="Web"/>
        <w:spacing w:before="0" w:beforeAutospacing="0" w:after="0" w:afterAutospacing="0"/>
        <w:rPr>
          <w:rFonts w:cstheme="minorBidi"/>
          <w:color w:val="000000" w:themeColor="dark1"/>
          <w:sz w:val="16"/>
          <w:szCs w:val="16"/>
        </w:rPr>
      </w:pPr>
      <w:r>
        <w:rPr>
          <w:rFonts w:ascii="ＭＳ ゴシック" w:eastAsia="ＭＳ ゴシック" w:hAnsi="ＭＳ ゴシック"/>
          <w:noProof/>
        </w:rPr>
        <w:drawing>
          <wp:anchor distT="0" distB="0" distL="114300" distR="114300" simplePos="0" relativeHeight="251777536" behindDoc="0" locked="0" layoutInCell="1" allowOverlap="1">
            <wp:simplePos x="0" y="0"/>
            <wp:positionH relativeFrom="margin">
              <wp:posOffset>184785</wp:posOffset>
            </wp:positionH>
            <wp:positionV relativeFrom="paragraph">
              <wp:posOffset>295275</wp:posOffset>
            </wp:positionV>
            <wp:extent cx="5962650" cy="3590925"/>
            <wp:effectExtent l="0" t="0" r="0" b="9525"/>
            <wp:wrapSquare wrapText="bothSides"/>
            <wp:docPr id="17" name="グラフ 17">
              <a:extLst xmlns:a="http://schemas.openxmlformats.org/drawingml/2006/main">
                <a:ext uri="{FF2B5EF4-FFF2-40B4-BE49-F238E27FC236}">
                  <a16:creationId xmlns:a16="http://schemas.microsoft.com/office/drawing/2014/main" id="{82865F65-7840-48C5-9FF0-4ABFB14F8B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pPr>
        <w:pStyle w:val="Web"/>
        <w:spacing w:before="0" w:beforeAutospacing="0" w:after="0" w:afterAutospacing="0"/>
        <w:ind w:firstLineChars="200" w:firstLine="320"/>
        <w:rPr>
          <w:rFonts w:cstheme="minorBidi"/>
          <w:color w:val="000000" w:themeColor="dark1"/>
          <w:sz w:val="16"/>
          <w:szCs w:val="16"/>
        </w:rPr>
      </w:pPr>
      <w:r>
        <w:rPr>
          <w:rFonts w:cstheme="minorBidi" w:hint="eastAsia"/>
          <w:color w:val="000000" w:themeColor="dark1"/>
          <w:sz w:val="16"/>
          <w:szCs w:val="16"/>
        </w:rPr>
        <w:t>出典：KDBシステム「厚生労働省　様式6-2～7　健診有所見者状況（令和元年度累計）</w:t>
      </w:r>
      <w:r>
        <w:rPr>
          <w:rFonts w:cstheme="minorBidi"/>
          <w:color w:val="000000" w:themeColor="dark1"/>
          <w:sz w:val="16"/>
          <w:szCs w:val="16"/>
        </w:rPr>
        <w:t xml:space="preserve">」 </w:t>
      </w:r>
      <w:r>
        <w:rPr>
          <w:rFonts w:cstheme="minorBidi" w:hint="eastAsia"/>
          <w:color w:val="000000" w:themeColor="dark1"/>
          <w:sz w:val="16"/>
          <w:szCs w:val="16"/>
        </w:rPr>
        <w:t>を国立保健医療科学院「年齢調整ツール」で</w:t>
      </w:r>
    </w:p>
    <w:p>
      <w:pPr>
        <w:pStyle w:val="Web"/>
        <w:spacing w:before="0" w:beforeAutospacing="0" w:after="0" w:afterAutospacing="0"/>
        <w:ind w:firstLineChars="200" w:firstLine="320"/>
        <w:rPr>
          <w:rFonts w:cstheme="minorBidi"/>
          <w:color w:val="000000" w:themeColor="dark1"/>
          <w:sz w:val="16"/>
          <w:szCs w:val="16"/>
        </w:rPr>
      </w:pPr>
      <w:r>
        <w:rPr>
          <w:rFonts w:cstheme="minorBidi" w:hint="eastAsia"/>
          <w:color w:val="000000" w:themeColor="dark1"/>
          <w:sz w:val="16"/>
          <w:szCs w:val="16"/>
        </w:rPr>
        <w:t>加工し作成</w:t>
      </w:r>
    </w:p>
    <w:p>
      <w:pPr>
        <w:pStyle w:val="a9"/>
        <w:numPr>
          <w:ilvl w:val="0"/>
          <w:numId w:val="39"/>
        </w:numPr>
        <w:tabs>
          <w:tab w:val="left" w:pos="284"/>
        </w:tabs>
        <w:ind w:leftChars="0" w:hanging="436"/>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特定保健指導実施率（終了率）</w:t>
      </w:r>
    </w:p>
    <w:p>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特定保健指導の実施率は上昇傾向ですが、県平均は下回っています。</w:t>
      </w:r>
    </w:p>
    <w:p>
      <w:pPr>
        <w:ind w:leftChars="68" w:left="420" w:hangingChars="132" w:hanging="277"/>
        <w:rPr>
          <w:rFonts w:ascii="ＭＳ ゴシック" w:eastAsia="ＭＳ ゴシック" w:hAnsi="ＭＳ ゴシック"/>
          <w:sz w:val="24"/>
          <w:szCs w:val="24"/>
        </w:rPr>
      </w:pPr>
      <w:r>
        <w:rPr>
          <w:noProof/>
        </w:rPr>
        <w:drawing>
          <wp:inline distT="0" distB="0" distL="0" distR="0">
            <wp:extent cx="6057900" cy="3505200"/>
            <wp:effectExtent l="0" t="0" r="0" b="0"/>
            <wp:docPr id="26" name="グラフ 26">
              <a:extLst xmlns:a="http://schemas.openxmlformats.org/drawingml/2006/main">
                <a:ext uri="{FF2B5EF4-FFF2-40B4-BE49-F238E27FC236}">
                  <a16:creationId xmlns:a16="http://schemas.microsoft.com/office/drawing/2014/main" id="{68546576-FCC8-4C37-8D8F-1B76CEF796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ind w:leftChars="200" w:left="420" w:firstLineChars="4302" w:firstLine="7744"/>
        <w:rPr>
          <w:rFonts w:ascii="ＭＳ ゴシック" w:eastAsia="ＭＳ ゴシック" w:hAnsi="ＭＳ ゴシック"/>
          <w:sz w:val="18"/>
          <w:szCs w:val="18"/>
        </w:rPr>
      </w:pPr>
      <w:r>
        <w:rPr>
          <w:rFonts w:ascii="ＭＳ ゴシック" w:eastAsia="ＭＳ ゴシック" w:hAnsi="ＭＳ ゴシック" w:hint="eastAsia"/>
          <w:sz w:val="18"/>
          <w:szCs w:val="18"/>
        </w:rPr>
        <w:t>出典：法定報告</w:t>
      </w:r>
    </w:p>
    <w:p>
      <w:pPr>
        <w:rPr>
          <w:rFonts w:ascii="ＭＳ ゴシック" w:eastAsia="ＭＳ ゴシック" w:hAnsi="ＭＳ ゴシック"/>
          <w:sz w:val="24"/>
          <w:szCs w:val="24"/>
        </w:rPr>
      </w:pPr>
    </w:p>
    <w:p>
      <w:pPr>
        <w:pStyle w:val="a9"/>
        <w:numPr>
          <w:ilvl w:val="0"/>
          <w:numId w:val="39"/>
        </w:numPr>
        <w:ind w:leftChars="0" w:left="851" w:hanging="491"/>
        <w:rPr>
          <w:rFonts w:ascii="ＭＳ ゴシック" w:eastAsia="ＭＳ ゴシック" w:hAnsi="ＭＳ ゴシック"/>
          <w:sz w:val="24"/>
          <w:szCs w:val="24"/>
        </w:rPr>
      </w:pPr>
      <w:r>
        <w:rPr>
          <w:rFonts w:ascii="ＭＳ ゴシック" w:eastAsia="ＭＳ ゴシック" w:hAnsi="ＭＳ ゴシック" w:hint="eastAsia"/>
          <w:sz w:val="24"/>
          <w:szCs w:val="24"/>
        </w:rPr>
        <w:t>医療費の状況（1人当たり医療費の年次推移）</w:t>
      </w:r>
    </w:p>
    <w:p>
      <w:pPr>
        <w:ind w:leftChars="270" w:left="567"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1人当たりの医療費は年々増加しています。平成２８年度は埼玉県平均より高い状態でしたが、平成２９年度以降は埼玉県平均を下回っています。</w:t>
      </w:r>
    </w:p>
    <w:p>
      <w:pPr>
        <w:ind w:leftChars="68" w:left="567" w:hangingChars="202" w:hanging="424"/>
        <w:rPr>
          <w:rFonts w:ascii="ＭＳ ゴシック" w:eastAsia="ＭＳ ゴシック" w:hAnsi="ＭＳ ゴシック"/>
          <w:sz w:val="24"/>
          <w:szCs w:val="24"/>
        </w:rPr>
      </w:pPr>
      <w:r>
        <w:rPr>
          <w:noProof/>
        </w:rPr>
        <w:drawing>
          <wp:inline distT="0" distB="0" distL="0" distR="0">
            <wp:extent cx="6038850" cy="3457575"/>
            <wp:effectExtent l="0" t="0" r="0" b="9525"/>
            <wp:docPr id="6" name="グラフ 6">
              <a:extLst xmlns:a="http://schemas.openxmlformats.org/drawingml/2006/main">
                <a:ext uri="{FF2B5EF4-FFF2-40B4-BE49-F238E27FC236}">
                  <a16:creationId xmlns:a16="http://schemas.microsoft.com/office/drawing/2014/main" id="{A06B7A5F-725A-40BB-9FF9-B8422151B2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widowControl/>
        <w:jc w:val="center"/>
        <w:rPr>
          <w:rFonts w:asciiTheme="majorEastAsia" w:eastAsiaTheme="majorEastAsia" w:hAnsiTheme="majorEastAsia" w:cstheme="minorBidi"/>
          <w:color w:val="000000" w:themeColor="dark1"/>
          <w:kern w:val="0"/>
          <w:sz w:val="18"/>
          <w:szCs w:val="18"/>
        </w:rPr>
      </w:pPr>
      <w:bookmarkStart w:id="4" w:name="_Hlk61451870"/>
      <w:r>
        <w:rPr>
          <w:rFonts w:asciiTheme="minorHAnsi" w:eastAsiaTheme="minorEastAsia" w:hAnsi="ＭＳ 明朝" w:cstheme="minorBidi" w:hint="eastAsia"/>
          <w:color w:val="000000" w:themeColor="dark1"/>
          <w:kern w:val="0"/>
          <w:sz w:val="18"/>
          <w:szCs w:val="18"/>
        </w:rPr>
        <w:t xml:space="preserve">　　　　　　　　　　　　　　　　　　</w:t>
      </w:r>
      <w:r>
        <w:rPr>
          <w:rFonts w:asciiTheme="majorEastAsia" w:eastAsiaTheme="majorEastAsia" w:hAnsiTheme="majorEastAsia" w:cstheme="minorBidi" w:hint="eastAsia"/>
          <w:color w:val="000000" w:themeColor="dark1"/>
          <w:kern w:val="0"/>
          <w:sz w:val="18"/>
          <w:szCs w:val="18"/>
        </w:rPr>
        <w:t xml:space="preserve">　　出典：K</w:t>
      </w:r>
      <w:r>
        <w:rPr>
          <w:rFonts w:asciiTheme="majorEastAsia" w:eastAsiaTheme="majorEastAsia" w:hAnsiTheme="majorEastAsia" w:cstheme="minorBidi"/>
          <w:color w:val="000000" w:themeColor="dark1"/>
          <w:kern w:val="0"/>
          <w:sz w:val="18"/>
          <w:szCs w:val="18"/>
        </w:rPr>
        <w:t>DB</w:t>
      </w:r>
      <w:r>
        <w:rPr>
          <w:rFonts w:asciiTheme="majorEastAsia" w:eastAsiaTheme="majorEastAsia" w:hAnsiTheme="majorEastAsia" w:cstheme="minorBidi" w:hint="eastAsia"/>
          <w:color w:val="000000" w:themeColor="dark1"/>
          <w:kern w:val="0"/>
          <w:sz w:val="18"/>
          <w:szCs w:val="18"/>
        </w:rPr>
        <w:t>システム「健診・医療・介護データからみる地域の健康課題」</w:t>
      </w:r>
    </w:p>
    <w:p>
      <w:pPr>
        <w:widowControl/>
        <w:jc w:val="center"/>
        <w:rPr>
          <w:rFonts w:asciiTheme="minorHAnsi" w:eastAsiaTheme="minorEastAsia" w:hAnsi="ＭＳ 明朝" w:cstheme="minorBidi"/>
          <w:color w:val="000000" w:themeColor="dark1"/>
          <w:kern w:val="0"/>
          <w:sz w:val="18"/>
          <w:szCs w:val="18"/>
        </w:rPr>
      </w:pPr>
    </w:p>
    <w:bookmarkEnd w:id="4"/>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生活習慣病疾病別医療費の状況</w:t>
      </w:r>
    </w:p>
    <w:p>
      <w:pPr>
        <w:ind w:leftChars="200" w:left="420" w:firstLineChars="120" w:firstLine="288"/>
        <w:rPr>
          <w:rFonts w:ascii="ＭＳ ゴシック" w:eastAsia="ＭＳ ゴシック" w:hAnsi="ＭＳ ゴシック"/>
          <w:sz w:val="24"/>
          <w:szCs w:val="24"/>
        </w:rPr>
      </w:pPr>
      <w:r>
        <w:rPr>
          <w:rFonts w:ascii="ＭＳ ゴシック" w:eastAsia="ＭＳ ゴシック" w:hAnsi="ＭＳ ゴシック" w:hint="eastAsia"/>
          <w:sz w:val="24"/>
          <w:szCs w:val="24"/>
        </w:rPr>
        <w:t>慢性腎不全（透析あり）、心筋梗塞の1人当たりの医療費が増加傾向にあり、高血圧症、慢性腎不全（透析なし）が減少傾向にあります。</w:t>
      </w:r>
    </w:p>
    <w:p>
      <w:pPr>
        <w:ind w:leftChars="100" w:left="210"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慢性腎不全の医療費は、透析ありが大幅に増加し、透析なしは減少傾向にあります。</w:t>
      </w:r>
    </w:p>
    <w:p>
      <w:pPr>
        <w:ind w:firstLineChars="177" w:firstLine="425"/>
        <w:rPr>
          <w:rFonts w:ascii="ＭＳ ゴシック" w:eastAsia="ＭＳ ゴシック" w:hAnsi="ＭＳ ゴシック"/>
          <w:sz w:val="24"/>
          <w:szCs w:val="24"/>
        </w:rPr>
      </w:pPr>
      <w:r>
        <w:rPr>
          <w:rFonts w:ascii="ＭＳ ゴシック" w:eastAsia="ＭＳ ゴシック" w:hAnsi="ＭＳ ゴシック"/>
          <w:noProof/>
          <w:sz w:val="24"/>
          <w:szCs w:val="24"/>
        </w:rPr>
        <w:drawing>
          <wp:inline distT="0" distB="0" distL="0" distR="0">
            <wp:extent cx="5924550" cy="3258185"/>
            <wp:effectExtent l="0" t="0" r="0" b="18415"/>
            <wp:docPr id="18" name="グラフ 18">
              <a:extLst xmlns:a="http://schemas.openxmlformats.org/drawingml/2006/main">
                <a:ext uri="{FF2B5EF4-FFF2-40B4-BE49-F238E27FC236}">
                  <a16:creationId xmlns:a16="http://schemas.microsoft.com/office/drawing/2014/main" id="{6C6D2FE0-402E-48CA-A75B-F9C8D4866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jc w:val="right"/>
        <w:rPr>
          <w:rFonts w:asciiTheme="majorEastAsia" w:eastAsiaTheme="majorEastAsia" w:hAnsiTheme="majorEastAsia"/>
          <w:sz w:val="16"/>
          <w:szCs w:val="16"/>
        </w:rPr>
      </w:pPr>
      <w:r>
        <w:rPr>
          <w:rFonts w:asciiTheme="majorEastAsia" w:eastAsiaTheme="majorEastAsia" w:hAnsiTheme="majorEastAsia" w:cstheme="minorBidi" w:hint="eastAsia"/>
          <w:color w:val="000000" w:themeColor="dark1"/>
          <w:kern w:val="0"/>
          <w:sz w:val="18"/>
          <w:szCs w:val="18"/>
        </w:rPr>
        <w:t>出典：</w:t>
      </w:r>
      <w:r>
        <w:rPr>
          <w:rFonts w:asciiTheme="majorEastAsia" w:eastAsiaTheme="majorEastAsia" w:hAnsiTheme="majorEastAsia" w:cstheme="minorBidi" w:hint="eastAsia"/>
          <w:color w:val="000000" w:themeColor="dark1"/>
          <w:kern w:val="0"/>
          <w:sz w:val="16"/>
          <w:szCs w:val="16"/>
        </w:rPr>
        <w:t>K</w:t>
      </w:r>
      <w:r>
        <w:rPr>
          <w:rFonts w:asciiTheme="majorEastAsia" w:eastAsiaTheme="majorEastAsia" w:hAnsiTheme="majorEastAsia" w:cstheme="minorBidi"/>
          <w:color w:val="000000" w:themeColor="dark1"/>
          <w:kern w:val="0"/>
          <w:sz w:val="16"/>
          <w:szCs w:val="16"/>
        </w:rPr>
        <w:t>DB</w:t>
      </w:r>
      <w:r>
        <w:rPr>
          <w:rFonts w:asciiTheme="majorEastAsia" w:eastAsiaTheme="majorEastAsia" w:hAnsiTheme="majorEastAsia" w:cstheme="minorBidi" w:hint="eastAsia"/>
          <w:color w:val="000000" w:themeColor="dark1"/>
          <w:kern w:val="0"/>
          <w:sz w:val="16"/>
          <w:szCs w:val="16"/>
        </w:rPr>
        <w:t>システム</w:t>
      </w:r>
      <w:r>
        <w:rPr>
          <w:rFonts w:ascii="ＭＳ ゴシック" w:eastAsia="ＭＳ ゴシック" w:hAnsi="ＭＳ ゴシック" w:cstheme="minorBidi" w:hint="eastAsia"/>
          <w:color w:val="000000"/>
          <w:sz w:val="16"/>
          <w:szCs w:val="16"/>
        </w:rPr>
        <w:t>疾病別医療費分析(細小(82)分類)</w:t>
      </w: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人工透析の状況（医療費及び患者数）　</w:t>
      </w:r>
    </w:p>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人工透析の医療費及び患者数は平成３０年度以降増加し続けています。</w:t>
      </w:r>
    </w:p>
    <w:p>
      <w:pPr>
        <w:ind w:leftChars="202" w:left="424"/>
        <w:jc w:val="left"/>
        <w:rPr>
          <w:rFonts w:ascii="ＭＳ ゴシック" w:eastAsia="ＭＳ ゴシック" w:hAnsi="ＭＳ ゴシック"/>
          <w:sz w:val="24"/>
          <w:szCs w:val="24"/>
        </w:rPr>
      </w:pPr>
      <w:r>
        <w:rPr>
          <w:noProof/>
        </w:rPr>
        <w:drawing>
          <wp:inline distT="0" distB="0" distL="0" distR="0">
            <wp:extent cx="5943600" cy="3800475"/>
            <wp:effectExtent l="0" t="0" r="0" b="9525"/>
            <wp:docPr id="19" name="グラフ 19">
              <a:extLst xmlns:a="http://schemas.openxmlformats.org/drawingml/2006/main">
                <a:ext uri="{FF2B5EF4-FFF2-40B4-BE49-F238E27FC236}">
                  <a16:creationId xmlns:a16="http://schemas.microsoft.com/office/drawing/2014/main" id="{14237870-7B52-4E90-AA2F-2C8E2AEFD1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widowControl/>
        <w:ind w:left="2880" w:hangingChars="1600" w:hanging="2880"/>
        <w:jc w:val="left"/>
        <w:rPr>
          <w:rFonts w:asciiTheme="majorEastAsia" w:eastAsiaTheme="majorEastAsia" w:hAnsiTheme="majorEastAsia" w:cstheme="minorBidi"/>
          <w:color w:val="000000" w:themeColor="dark1"/>
          <w:kern w:val="0"/>
          <w:sz w:val="18"/>
          <w:szCs w:val="18"/>
        </w:rPr>
      </w:pPr>
      <w:r>
        <w:rPr>
          <w:rFonts w:asciiTheme="minorHAnsi" w:eastAsiaTheme="minorEastAsia" w:hAnsi="ＭＳ 明朝" w:cstheme="minorBidi" w:hint="eastAsia"/>
          <w:color w:val="000000" w:themeColor="dark1"/>
          <w:kern w:val="0"/>
          <w:sz w:val="18"/>
          <w:szCs w:val="18"/>
        </w:rPr>
        <w:t xml:space="preserve">　　　　　　　　　　　　　</w:t>
      </w:r>
      <w:r>
        <w:rPr>
          <w:rFonts w:asciiTheme="majorEastAsia" w:eastAsiaTheme="majorEastAsia" w:hAnsiTheme="majorEastAsia" w:cstheme="minorBidi" w:hint="eastAsia"/>
          <w:color w:val="000000" w:themeColor="dark1"/>
          <w:kern w:val="0"/>
          <w:sz w:val="18"/>
          <w:szCs w:val="18"/>
        </w:rPr>
        <w:t>出典：K</w:t>
      </w:r>
      <w:r>
        <w:rPr>
          <w:rFonts w:asciiTheme="majorEastAsia" w:eastAsiaTheme="majorEastAsia" w:hAnsiTheme="majorEastAsia" w:cstheme="minorBidi"/>
          <w:color w:val="000000" w:themeColor="dark1"/>
          <w:kern w:val="0"/>
          <w:sz w:val="18"/>
          <w:szCs w:val="18"/>
        </w:rPr>
        <w:t>DB</w:t>
      </w:r>
      <w:r>
        <w:rPr>
          <w:rFonts w:asciiTheme="majorEastAsia" w:eastAsiaTheme="majorEastAsia" w:hAnsiTheme="majorEastAsia" w:cstheme="minorBidi" w:hint="eastAsia"/>
          <w:color w:val="000000" w:themeColor="dark1"/>
          <w:kern w:val="0"/>
          <w:sz w:val="18"/>
          <w:szCs w:val="18"/>
        </w:rPr>
        <w:t>システム「厚生労働省様式　様式2-2人工透析患者一覧」（各月3月）　　　　　　　　　　　　　　　　　　　　　　　　K</w:t>
      </w:r>
      <w:r>
        <w:rPr>
          <w:rFonts w:asciiTheme="majorEastAsia" w:eastAsiaTheme="majorEastAsia" w:hAnsiTheme="majorEastAsia" w:cstheme="minorBidi"/>
          <w:color w:val="000000" w:themeColor="dark1"/>
          <w:kern w:val="0"/>
          <w:sz w:val="18"/>
          <w:szCs w:val="18"/>
        </w:rPr>
        <w:t>DB</w:t>
      </w:r>
      <w:r>
        <w:rPr>
          <w:rFonts w:asciiTheme="majorEastAsia" w:eastAsiaTheme="majorEastAsia" w:hAnsiTheme="majorEastAsia" w:cstheme="minorBidi" w:hint="eastAsia"/>
          <w:color w:val="000000" w:themeColor="dark1"/>
          <w:kern w:val="0"/>
          <w:sz w:val="18"/>
          <w:szCs w:val="18"/>
        </w:rPr>
        <w:t>システム「厚生労働省様式　様式3-7人工透のレセプト分析」（各月3月）</w:t>
      </w: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要介護認定率の状況</w:t>
      </w:r>
    </w:p>
    <w:p>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埼玉県と比較すると低く推移していますが、近年は増加傾向にあります。</w:t>
      </w:r>
    </w:p>
    <w:p>
      <w:pPr>
        <w:ind w:leftChars="135" w:left="422" w:right="-1" w:hangingChars="66" w:hanging="139"/>
        <w:rPr>
          <w:rFonts w:ascii="ＭＳ ゴシック" w:eastAsia="ＭＳ ゴシック" w:hAnsi="ＭＳ ゴシック"/>
          <w:sz w:val="24"/>
          <w:szCs w:val="24"/>
        </w:rPr>
      </w:pPr>
      <w:r>
        <w:rPr>
          <w:noProof/>
        </w:rPr>
        <w:drawing>
          <wp:inline distT="0" distB="0" distL="0" distR="0">
            <wp:extent cx="5972783" cy="3599234"/>
            <wp:effectExtent l="0" t="0" r="9525" b="1270"/>
            <wp:docPr id="21" name="グラフ 21">
              <a:extLst xmlns:a="http://schemas.openxmlformats.org/drawingml/2006/main">
                <a:ext uri="{FF2B5EF4-FFF2-40B4-BE49-F238E27FC236}">
                  <a16:creationId xmlns:a16="http://schemas.microsoft.com/office/drawing/2014/main" id="{CBD118D9-D3F1-49B1-B3ED-1FD8B34932A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widowControl/>
        <w:jc w:val="center"/>
        <w:rPr>
          <w:rFonts w:asciiTheme="majorEastAsia" w:eastAsiaTheme="majorEastAsia" w:hAnsiTheme="majorEastAsia" w:cstheme="minorBidi"/>
          <w:color w:val="000000" w:themeColor="dark1"/>
          <w:kern w:val="0"/>
          <w:sz w:val="18"/>
          <w:szCs w:val="18"/>
        </w:rPr>
      </w:pPr>
      <w:r>
        <w:rPr>
          <w:rFonts w:asciiTheme="minorHAnsi" w:eastAsiaTheme="minorEastAsia" w:hAnsi="ＭＳ 明朝" w:cstheme="minorBidi" w:hint="eastAsia"/>
          <w:color w:val="000000" w:themeColor="dark1"/>
          <w:kern w:val="0"/>
          <w:sz w:val="18"/>
          <w:szCs w:val="18"/>
        </w:rPr>
        <w:t xml:space="preserve">　　　　　　　　　　　　　　　　　　　　　　　　　　　　　　　</w:t>
      </w:r>
      <w:r>
        <w:rPr>
          <w:rFonts w:asciiTheme="majorEastAsia" w:eastAsiaTheme="majorEastAsia" w:hAnsiTheme="majorEastAsia" w:cstheme="minorBidi" w:hint="eastAsia"/>
          <w:color w:val="000000" w:themeColor="dark1"/>
          <w:kern w:val="0"/>
          <w:sz w:val="18"/>
          <w:szCs w:val="18"/>
        </w:rPr>
        <w:t xml:space="preserve">　　出典：K</w:t>
      </w:r>
      <w:r>
        <w:rPr>
          <w:rFonts w:asciiTheme="majorEastAsia" w:eastAsiaTheme="majorEastAsia" w:hAnsiTheme="majorEastAsia" w:cstheme="minorBidi"/>
          <w:color w:val="000000" w:themeColor="dark1"/>
          <w:kern w:val="0"/>
          <w:sz w:val="18"/>
          <w:szCs w:val="18"/>
        </w:rPr>
        <w:t>DB</w:t>
      </w:r>
      <w:r>
        <w:rPr>
          <w:rFonts w:asciiTheme="majorEastAsia" w:eastAsiaTheme="majorEastAsia" w:hAnsiTheme="majorEastAsia" w:cstheme="minorBidi" w:hint="eastAsia"/>
          <w:color w:val="000000" w:themeColor="dark1"/>
          <w:kern w:val="0"/>
          <w:sz w:val="18"/>
          <w:szCs w:val="18"/>
        </w:rPr>
        <w:t>システム「地域の全体像の把握」</w:t>
      </w:r>
    </w:p>
    <w:p>
      <w:pPr>
        <w:rPr>
          <w:rFonts w:ascii="ＭＳ ゴシック" w:eastAsia="ＭＳ ゴシック" w:hAnsi="ＭＳ ゴシック"/>
          <w:b/>
          <w:color w:val="000000" w:themeColor="text1"/>
          <w:sz w:val="24"/>
          <w:szCs w:val="24"/>
        </w:rPr>
      </w:pPr>
    </w:p>
    <w:p>
      <w:pPr>
        <w:pStyle w:val="a9"/>
        <w:numPr>
          <w:ilvl w:val="0"/>
          <w:numId w:val="39"/>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t>介護保険給付費の状況（１件あたり介護給付費）</w:t>
      </w:r>
    </w:p>
    <w:p>
      <w:pPr>
        <w:ind w:leftChars="235" w:left="493" w:firstLineChars="75" w:firstLine="180"/>
        <w:jc w:val="left"/>
        <w:rPr>
          <w:rFonts w:ascii="ＭＳ ゴシック" w:eastAsia="ＭＳ ゴシック" w:hAnsi="ＭＳ ゴシック"/>
          <w:b/>
          <w:color w:val="000000" w:themeColor="text1"/>
          <w:sz w:val="24"/>
          <w:szCs w:val="24"/>
        </w:rPr>
      </w:pPr>
      <w:r>
        <w:rPr>
          <w:rFonts w:ascii="ＭＳ ゴシック" w:eastAsia="ＭＳ ゴシック" w:hAnsi="ＭＳ ゴシック" w:hint="eastAsia"/>
          <w:sz w:val="24"/>
          <w:szCs w:val="24"/>
        </w:rPr>
        <w:t>平成２８年度以降は、要支援３、要介護５は増加していますが、その他は減少しています。</w:t>
      </w:r>
      <w:r>
        <w:rPr>
          <w:rFonts w:ascii="ＭＳ ゴシック" w:eastAsia="ＭＳ ゴシック" w:hAnsi="ＭＳ ゴシック" w:hint="eastAsia"/>
          <w:b/>
          <w:color w:val="000000" w:themeColor="text1"/>
          <w:sz w:val="24"/>
          <w:szCs w:val="24"/>
        </w:rPr>
        <w:t xml:space="preserve">　　　　</w:t>
      </w:r>
      <w:r>
        <w:rPr>
          <w:noProof/>
        </w:rPr>
        <w:drawing>
          <wp:inline distT="0" distB="0" distL="0" distR="0">
            <wp:extent cx="6021421" cy="3744595"/>
            <wp:effectExtent l="0" t="0" r="17780" b="8255"/>
            <wp:docPr id="22" name="グラフ 22">
              <a:extLst xmlns:a="http://schemas.openxmlformats.org/drawingml/2006/main">
                <a:ext uri="{FF2B5EF4-FFF2-40B4-BE49-F238E27FC236}">
                  <a16:creationId xmlns:a16="http://schemas.microsoft.com/office/drawing/2014/main" id="{372953C3-F066-4029-A995-41F8FCA028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jc w:val="right"/>
        <w:rPr>
          <w:rFonts w:asciiTheme="majorEastAsia" w:eastAsiaTheme="majorEastAsia" w:hAnsiTheme="majorEastAsia"/>
          <w:b/>
          <w:color w:val="000000" w:themeColor="text1"/>
          <w:sz w:val="24"/>
          <w:szCs w:val="24"/>
        </w:rPr>
      </w:pPr>
      <w:r>
        <w:rPr>
          <w:rFonts w:asciiTheme="majorEastAsia" w:eastAsiaTheme="majorEastAsia" w:hAnsiTheme="majorEastAsia" w:cstheme="minorBidi" w:hint="eastAsia"/>
          <w:color w:val="000000" w:themeColor="dark1"/>
          <w:kern w:val="0"/>
          <w:sz w:val="18"/>
          <w:szCs w:val="18"/>
        </w:rPr>
        <w:t>出典：K</w:t>
      </w:r>
      <w:r>
        <w:rPr>
          <w:rFonts w:asciiTheme="majorEastAsia" w:eastAsiaTheme="majorEastAsia" w:hAnsiTheme="majorEastAsia" w:cstheme="minorBidi"/>
          <w:color w:val="000000" w:themeColor="dark1"/>
          <w:kern w:val="0"/>
          <w:sz w:val="18"/>
          <w:szCs w:val="18"/>
        </w:rPr>
        <w:t>DB</w:t>
      </w:r>
      <w:r>
        <w:rPr>
          <w:rFonts w:asciiTheme="majorEastAsia" w:eastAsiaTheme="majorEastAsia" w:hAnsiTheme="majorEastAsia" w:cstheme="minorBidi" w:hint="eastAsia"/>
          <w:color w:val="000000" w:themeColor="dark1"/>
          <w:kern w:val="0"/>
          <w:sz w:val="18"/>
          <w:szCs w:val="18"/>
        </w:rPr>
        <w:t>システム「地域の全体像の把握」</w:t>
      </w:r>
    </w:p>
    <w:p>
      <w:pPr>
        <w:rPr>
          <w:rFonts w:asciiTheme="majorEastAsia" w:eastAsiaTheme="majorEastAsia" w:hAnsiTheme="majorEastAsia" w:cs="Meiryo UI"/>
          <w:b/>
          <w:color w:val="000000" w:themeColor="text1"/>
          <w:sz w:val="24"/>
          <w:szCs w:val="24"/>
        </w:rPr>
      </w:pPr>
      <w:r>
        <w:rPr>
          <w:rFonts w:ascii="ＭＳ ゴシック" w:eastAsia="ＭＳ ゴシック" w:hAnsi="ＭＳ ゴシック" w:hint="eastAsia"/>
          <w:b/>
          <w:color w:val="000000" w:themeColor="text1"/>
          <w:sz w:val="24"/>
          <w:szCs w:val="24"/>
        </w:rPr>
        <w:lastRenderedPageBreak/>
        <w:t>５</w:t>
      </w:r>
      <w:r>
        <w:rPr>
          <w:rFonts w:ascii="ＭＳ ゴシック" w:eastAsia="ＭＳ ゴシック" w:hAnsi="ＭＳ ゴシック"/>
          <w:b/>
          <w:color w:val="000000" w:themeColor="text1"/>
          <w:sz w:val="24"/>
          <w:szCs w:val="24"/>
        </w:rPr>
        <w:t xml:space="preserve">　</w:t>
      </w:r>
      <w:r>
        <w:rPr>
          <w:rFonts w:asciiTheme="majorEastAsia" w:eastAsiaTheme="majorEastAsia" w:hAnsiTheme="majorEastAsia" w:cs="Meiryo UI" w:hint="eastAsia"/>
          <w:b/>
          <w:color w:val="000000" w:themeColor="text1"/>
          <w:sz w:val="24"/>
          <w:szCs w:val="24"/>
        </w:rPr>
        <w:t>個別保健</w:t>
      </w:r>
      <w:r>
        <w:rPr>
          <w:rFonts w:asciiTheme="majorEastAsia" w:eastAsiaTheme="majorEastAsia" w:hAnsiTheme="majorEastAsia" w:cs="Meiryo UI"/>
          <w:b/>
          <w:color w:val="000000" w:themeColor="text1"/>
          <w:sz w:val="24"/>
          <w:szCs w:val="24"/>
        </w:rPr>
        <w:t>事業の評価と見直し</w:t>
      </w:r>
    </w:p>
    <w:p>
      <w:pPr>
        <w:tabs>
          <w:tab w:val="left" w:pos="284"/>
        </w:tabs>
        <w:ind w:firstLineChars="29" w:firstLine="70"/>
        <w:rPr>
          <w:rFonts w:ascii="ＭＳ ゴシック" w:eastAsia="ＭＳ ゴシック" w:hAnsi="ＭＳ ゴシック" w:cs="Meiryo UI"/>
          <w:color w:val="000000" w:themeColor="text1"/>
          <w:sz w:val="24"/>
          <w:szCs w:val="24"/>
        </w:rPr>
      </w:pPr>
    </w:p>
    <w:p>
      <w:pPr>
        <w:ind w:leftChars="-67" w:left="1" w:hangingChars="59" w:hanging="142"/>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（１）特定健診受診率向上対策事業</w:t>
      </w:r>
    </w:p>
    <w:p>
      <w:pPr>
        <w:ind w:firstLineChars="118" w:firstLine="283"/>
        <w:rPr>
          <w:rFonts w:ascii="ＭＳ ゴシック" w:eastAsia="ＭＳ ゴシック" w:hAnsi="ＭＳ ゴシック" w:cs="Calibri"/>
          <w:b/>
          <w:bCs/>
          <w:color w:val="000000"/>
          <w:kern w:val="0"/>
          <w:sz w:val="20"/>
          <w:szCs w:val="20"/>
        </w:rPr>
      </w:pPr>
      <w:r>
        <w:rPr>
          <w:rFonts w:ascii="ＭＳ ゴシック" w:eastAsia="ＭＳ ゴシック" w:hAnsi="ＭＳ ゴシック" w:cs="Meiryo UI" w:hint="eastAsia"/>
          <w:color w:val="000000" w:themeColor="text1"/>
          <w:sz w:val="24"/>
          <w:szCs w:val="20"/>
        </w:rPr>
        <w:t>①評価指標及び最終</w:t>
      </w:r>
      <w:r>
        <w:rPr>
          <w:rFonts w:ascii="ＭＳ ゴシック" w:eastAsia="ＭＳ ゴシック" w:hAnsi="ＭＳ ゴシック" w:cs="Meiryo UI"/>
          <w:color w:val="000000" w:themeColor="text1"/>
          <w:sz w:val="24"/>
          <w:szCs w:val="20"/>
        </w:rPr>
        <w:t>目標値</w:t>
      </w:r>
    </w:p>
    <w:tbl>
      <w:tblPr>
        <w:tblStyle w:val="40"/>
        <w:tblW w:w="0" w:type="auto"/>
        <w:tblInd w:w="-5" w:type="dxa"/>
        <w:tblLook w:val="04A0" w:firstRow="1" w:lastRow="0" w:firstColumn="1" w:lastColumn="0" w:noHBand="0" w:noVBand="1"/>
      </w:tblPr>
      <w:tblGrid>
        <w:gridCol w:w="4677"/>
        <w:gridCol w:w="4821"/>
      </w:tblGrid>
      <w:tr>
        <w:trPr>
          <w:trHeight w:val="490"/>
        </w:trPr>
        <w:tc>
          <w:tcPr>
            <w:tcW w:w="4677"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評価指標</w:t>
            </w:r>
          </w:p>
        </w:tc>
        <w:tc>
          <w:tcPr>
            <w:tcW w:w="4821"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最終目標値</w:t>
            </w:r>
          </w:p>
        </w:tc>
      </w:tr>
      <w:tr>
        <w:trPr>
          <w:trHeight w:val="490"/>
        </w:trPr>
        <w:tc>
          <w:tcPr>
            <w:tcW w:w="4677" w:type="dxa"/>
            <w:tcBorders>
              <w:top w:val="single" w:sz="4" w:space="0" w:color="000000"/>
              <w:left w:val="single" w:sz="4" w:space="0" w:color="000000"/>
              <w:bottom w:val="single" w:sz="4" w:space="0" w:color="auto"/>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特定健康診査受診率</w:t>
            </w:r>
          </w:p>
        </w:tc>
        <w:tc>
          <w:tcPr>
            <w:tcW w:w="4821"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60％</w:t>
            </w:r>
          </w:p>
        </w:tc>
      </w:tr>
    </w:tbl>
    <w:p>
      <w:pPr>
        <w:rPr>
          <w:rFonts w:ascii="ＭＳ ゴシック" w:eastAsia="ＭＳ ゴシック" w:hAnsi="ＭＳ ゴシック" w:cs="Calibri"/>
          <w:bCs/>
          <w:color w:val="000000"/>
          <w:kern w:val="0"/>
          <w:sz w:val="24"/>
          <w:szCs w:val="24"/>
        </w:rPr>
      </w:pPr>
    </w:p>
    <w:p>
      <w:pPr>
        <w:ind w:firstLineChars="118" w:firstLine="283"/>
        <w:rPr>
          <w:rFonts w:ascii="ＭＳ ゴシック" w:eastAsia="ＭＳ ゴシック" w:hAnsi="ＭＳ ゴシック"/>
          <w:color w:val="000000" w:themeColor="text1"/>
          <w:sz w:val="24"/>
          <w:szCs w:val="24"/>
        </w:rPr>
      </w:pPr>
      <w:r>
        <w:rPr>
          <w:rFonts w:ascii="ＭＳ ゴシック" w:eastAsia="ＭＳ ゴシック" w:hAnsi="ＭＳ ゴシック" w:cs="Calibri" w:hint="eastAsia"/>
          <w:bCs/>
          <w:color w:val="000000"/>
          <w:kern w:val="0"/>
          <w:sz w:val="24"/>
          <w:szCs w:val="24"/>
        </w:rPr>
        <w:t>②短期目標の評価と見直し（上段：目標値、下段：実績値）</w:t>
      </w:r>
    </w:p>
    <w:tbl>
      <w:tblPr>
        <w:tblpPr w:leftFromText="142" w:rightFromText="142" w:vertAnchor="text" w:horzAnchor="margin" w:tblpY="40"/>
        <w:tblW w:w="9493" w:type="dxa"/>
        <w:tblLayout w:type="fixed"/>
        <w:tblCellMar>
          <w:left w:w="99" w:type="dxa"/>
          <w:right w:w="99" w:type="dxa"/>
        </w:tblCellMar>
        <w:tblLook w:val="04A0" w:firstRow="1" w:lastRow="0" w:firstColumn="1" w:lastColumn="0" w:noHBand="0" w:noVBand="1"/>
      </w:tblPr>
      <w:tblGrid>
        <w:gridCol w:w="1723"/>
        <w:gridCol w:w="1152"/>
        <w:gridCol w:w="1037"/>
        <w:gridCol w:w="1037"/>
        <w:gridCol w:w="1037"/>
        <w:gridCol w:w="1037"/>
        <w:gridCol w:w="1194"/>
        <w:gridCol w:w="1276"/>
      </w:tblGrid>
      <w:tr>
        <w:trPr>
          <w:trHeight w:val="575"/>
        </w:trPr>
        <w:tc>
          <w:tcPr>
            <w:tcW w:w="1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kern w:val="0"/>
                <w:sz w:val="22"/>
              </w:rPr>
            </w:pPr>
          </w:p>
        </w:tc>
        <w:tc>
          <w:tcPr>
            <w:tcW w:w="115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sz w:val="20"/>
              </w:rPr>
            </w:pP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H28</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H29</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H30</w:t>
            </w:r>
          </w:p>
        </w:tc>
        <w:tc>
          <w:tcPr>
            <w:tcW w:w="103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R元</w:t>
            </w:r>
          </w:p>
        </w:tc>
        <w:tc>
          <w:tcPr>
            <w:tcW w:w="1194" w:type="dxa"/>
            <w:tcBorders>
              <w:top w:val="single" w:sz="4" w:space="0" w:color="auto"/>
              <w:left w:val="nil"/>
              <w:bottom w:val="single" w:sz="4" w:space="0" w:color="auto"/>
              <w:right w:val="single" w:sz="4" w:space="0" w:color="auto"/>
            </w:tcBorders>
          </w:tcPr>
          <w:p>
            <w:pPr>
              <w:widowControl/>
              <w:spacing w:line="240" w:lineRule="exact"/>
              <w:rPr>
                <w:rFonts w:ascii="ＭＳ ゴシック" w:eastAsia="ＭＳ ゴシック" w:hAnsi="ＭＳ ゴシック" w:cs="Meiryo UI"/>
                <w:color w:val="000000" w:themeColor="text1"/>
                <w:sz w:val="20"/>
              </w:rPr>
            </w:pPr>
            <w:r>
              <w:rPr>
                <w:rFonts w:ascii="ＭＳ ゴシック" w:eastAsia="ＭＳ ゴシック" w:hAnsi="ＭＳ ゴシック" w:cs="Meiryo UI" w:hint="eastAsia"/>
                <w:color w:val="000000" w:themeColor="text1"/>
                <w:sz w:val="20"/>
              </w:rPr>
              <w:t xml:space="preserve">最終年度　</w:t>
            </w:r>
            <w:r>
              <w:rPr>
                <w:rFonts w:ascii="ＭＳ ゴシック" w:eastAsia="ＭＳ ゴシック" w:hAnsi="ＭＳ ゴシック" w:cs="Meiryo UI" w:hint="eastAsia"/>
                <w:color w:val="000000" w:themeColor="text1"/>
                <w:sz w:val="18"/>
              </w:rPr>
              <w:t>（R５年度）</w:t>
            </w:r>
          </w:p>
        </w:tc>
        <w:tc>
          <w:tcPr>
            <w:tcW w:w="1276" w:type="dxa"/>
            <w:tcBorders>
              <w:top w:val="single" w:sz="4" w:space="0" w:color="auto"/>
              <w:left w:val="nil"/>
              <w:bottom w:val="single" w:sz="4" w:space="0" w:color="auto"/>
              <w:right w:val="single" w:sz="4" w:space="0" w:color="auto"/>
            </w:tcBorders>
          </w:tcPr>
          <w:p>
            <w:pPr>
              <w:widowControl/>
              <w:spacing w:line="240" w:lineRule="exact"/>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 xml:space="preserve">　　　　　</w:t>
            </w:r>
            <w:r>
              <w:rPr>
                <w:rFonts w:ascii="ＭＳ ゴシック" w:eastAsia="ＭＳ ゴシック" w:hAnsi="ＭＳ ゴシック" w:cs="Meiryo UI" w:hint="eastAsia"/>
                <w:color w:val="000000" w:themeColor="text1"/>
                <w:sz w:val="20"/>
              </w:rPr>
              <w:t>達成状況</w:t>
            </w:r>
          </w:p>
        </w:tc>
      </w:tr>
      <w:tr>
        <w:trPr>
          <w:trHeight w:val="414"/>
        </w:trPr>
        <w:tc>
          <w:tcPr>
            <w:tcW w:w="1723" w:type="dxa"/>
            <w:vMerge w:val="restart"/>
            <w:tcBorders>
              <w:top w:val="single" w:sz="4" w:space="0" w:color="auto"/>
              <w:left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特定健診受診率</w:t>
            </w:r>
          </w:p>
        </w:tc>
        <w:tc>
          <w:tcPr>
            <w:tcW w:w="115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目標値</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55％</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60％</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40％</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44％</w:t>
            </w:r>
          </w:p>
        </w:tc>
        <w:tc>
          <w:tcPr>
            <w:tcW w:w="1194" w:type="dxa"/>
            <w:tcBorders>
              <w:top w:val="single" w:sz="4" w:space="0" w:color="auto"/>
              <w:left w:val="nil"/>
              <w:bottom w:val="single" w:sz="4" w:space="0" w:color="auto"/>
              <w:right w:val="single" w:sz="4" w:space="0" w:color="auto"/>
            </w:tcBorders>
          </w:tcPr>
          <w:p>
            <w:pPr>
              <w:widowControl/>
              <w:tabs>
                <w:tab w:val="center" w:pos="550"/>
                <w:tab w:val="right" w:pos="1006"/>
              </w:tabs>
              <w:ind w:rightChars="-50" w:right="-105"/>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 xml:space="preserve">    </w:t>
            </w:r>
            <w:r>
              <w:rPr>
                <w:rFonts w:ascii="ＭＳ ゴシック" w:eastAsia="ＭＳ ゴシック" w:hAnsi="ＭＳ ゴシック" w:cs="ＭＳ Ｐゴシック" w:hint="eastAsia"/>
                <w:color w:val="000000"/>
                <w:kern w:val="0"/>
              </w:rPr>
              <w:t>60％</w:t>
            </w:r>
          </w:p>
        </w:tc>
        <w:tc>
          <w:tcPr>
            <w:tcW w:w="1276" w:type="dxa"/>
            <w:vMerge w:val="restart"/>
            <w:tcBorders>
              <w:top w:val="single" w:sz="4" w:space="0" w:color="auto"/>
              <w:left w:val="nil"/>
              <w:right w:val="single" w:sz="4" w:space="0" w:color="auto"/>
            </w:tcBorders>
          </w:tcPr>
          <w:p>
            <w:pPr>
              <w:widowControl/>
              <w:ind w:right="185"/>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達成</w:t>
            </w:r>
          </w:p>
        </w:tc>
      </w:tr>
      <w:tr>
        <w:trPr>
          <w:trHeight w:val="419"/>
        </w:trPr>
        <w:tc>
          <w:tcPr>
            <w:tcW w:w="1723" w:type="dxa"/>
            <w:vMerge/>
            <w:tcBorders>
              <w:left w:val="single" w:sz="4" w:space="0" w:color="auto"/>
              <w:bottom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p>
        </w:tc>
        <w:tc>
          <w:tcPr>
            <w:tcW w:w="115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実績値</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wordWrap w:val="0"/>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38.8％</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36.9％</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36.6％</w:t>
            </w:r>
          </w:p>
        </w:tc>
        <w:tc>
          <w:tcPr>
            <w:tcW w:w="103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44.1％</w:t>
            </w:r>
          </w:p>
        </w:tc>
        <w:tc>
          <w:tcPr>
            <w:tcW w:w="1194" w:type="dxa"/>
            <w:tcBorders>
              <w:top w:val="single" w:sz="4" w:space="0" w:color="auto"/>
              <w:left w:val="nil"/>
              <w:bottom w:val="single" w:sz="4" w:space="0" w:color="auto"/>
              <w:right w:val="single" w:sz="4" w:space="0" w:color="auto"/>
            </w:tcBorders>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w:t>
            </w:r>
          </w:p>
        </w:tc>
        <w:tc>
          <w:tcPr>
            <w:tcW w:w="1276" w:type="dxa"/>
            <w:vMerge/>
            <w:tcBorders>
              <w:left w:val="nil"/>
              <w:bottom w:val="single" w:sz="4" w:space="0" w:color="auto"/>
              <w:right w:val="single" w:sz="4" w:space="0" w:color="auto"/>
            </w:tcBorders>
          </w:tcPr>
          <w:p>
            <w:pPr>
              <w:widowControl/>
              <w:jc w:val="left"/>
              <w:rPr>
                <w:rFonts w:ascii="ＭＳ ゴシック" w:eastAsia="ＭＳ ゴシック" w:hAnsi="ＭＳ ゴシック" w:cs="ＭＳ Ｐゴシック"/>
                <w:color w:val="000000"/>
                <w:kern w:val="0"/>
              </w:rPr>
            </w:pPr>
          </w:p>
        </w:tc>
      </w:tr>
    </w:tbl>
    <w:p>
      <w:pPr>
        <w:jc w:val="left"/>
        <w:rPr>
          <w:rFonts w:ascii="ＭＳ ゴシック" w:eastAsia="ＭＳ ゴシック" w:hAnsi="ＭＳ ゴシック"/>
          <w:color w:val="000000" w:themeColor="text1"/>
          <w:sz w:val="24"/>
          <w:szCs w:val="24"/>
        </w:rPr>
      </w:pPr>
      <w:r>
        <w:rPr>
          <w:rFonts w:ascii="ＭＳ ゴシック" w:eastAsia="ＭＳ ゴシック" w:hAnsi="ＭＳ ゴシック"/>
          <w:noProof/>
        </w:rPr>
        <w:t xml:space="preserve"> </w:t>
      </w: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hint="eastAsia"/>
          <w:color w:val="000000" w:themeColor="text1"/>
          <w:sz w:val="24"/>
          <w:szCs w:val="24"/>
        </w:rPr>
        <w:t>③達成</w:t>
      </w:r>
      <w:r>
        <w:rPr>
          <w:rFonts w:ascii="ＭＳ ゴシック" w:eastAsia="ＭＳ ゴシック" w:hAnsi="ＭＳ ゴシック"/>
          <w:color w:val="000000" w:themeColor="text1"/>
          <w:sz w:val="24"/>
          <w:szCs w:val="24"/>
        </w:rPr>
        <w:t>、未達成要因及び事業の方向性</w:t>
      </w:r>
    </w:p>
    <w:tbl>
      <w:tblPr>
        <w:tblStyle w:val="af5"/>
        <w:tblW w:w="0" w:type="auto"/>
        <w:tblLook w:val="04A0" w:firstRow="1" w:lastRow="0" w:firstColumn="1" w:lastColumn="0" w:noHBand="0" w:noVBand="1"/>
      </w:tblPr>
      <w:tblGrid>
        <w:gridCol w:w="3209"/>
        <w:gridCol w:w="3209"/>
        <w:gridCol w:w="3210"/>
      </w:tblGrid>
      <w:tr>
        <w:tc>
          <w:tcPr>
            <w:tcW w:w="3209"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達成要因</w:t>
            </w:r>
          </w:p>
        </w:tc>
        <w:tc>
          <w:tcPr>
            <w:tcW w:w="3209"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未達成要因</w:t>
            </w:r>
          </w:p>
        </w:tc>
        <w:tc>
          <w:tcPr>
            <w:tcW w:w="3210"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事業の方向性</w:t>
            </w:r>
          </w:p>
        </w:tc>
      </w:tr>
      <w:tr>
        <w:tc>
          <w:tcPr>
            <w:tcW w:w="3209" w:type="dxa"/>
          </w:tcPr>
          <w:p>
            <w:pP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・H30年度は40、50歳代及び60歳代の不定期受診者に限定した受診勧奨を行ったが、受診率向上はしなかった。</w:t>
            </w:r>
          </w:p>
          <w:p>
            <w:pPr>
              <w:rPr>
                <w:rFonts w:ascii="ＭＳ ゴシック" w:eastAsia="ＭＳ ゴシック" w:hAnsi="ＭＳ ゴシック" w:cs="Meiryo UI"/>
                <w:color w:val="FF0000"/>
                <w:sz w:val="20"/>
                <w:szCs w:val="24"/>
              </w:rPr>
            </w:pPr>
            <w:r>
              <w:rPr>
                <w:rFonts w:ascii="ＭＳ ゴシック" w:eastAsia="ＭＳ ゴシック" w:hAnsi="ＭＳ ゴシック" w:cs="Meiryo UI" w:hint="eastAsia"/>
                <w:color w:val="000000" w:themeColor="text1"/>
                <w:sz w:val="20"/>
                <w:szCs w:val="24"/>
              </w:rPr>
              <w:t>・R元年度は</w:t>
            </w:r>
            <w:bookmarkStart w:id="5" w:name="_Hlk61436127"/>
            <w:r>
              <w:rPr>
                <w:rFonts w:ascii="ＭＳ ゴシック" w:eastAsia="ＭＳ ゴシック" w:hAnsi="ＭＳ ゴシック" w:cs="Meiryo UI" w:hint="eastAsia"/>
                <w:color w:val="000000" w:themeColor="text1"/>
                <w:sz w:val="20"/>
                <w:szCs w:val="24"/>
              </w:rPr>
              <w:t>対象者の特性に合わせて勧奨通知を対象者全員に送付したところ、例年の約３倍の問い合わせがあった。健診対象者を特性別に分類し、勧奨通知をしたことや</w:t>
            </w:r>
            <w:bookmarkEnd w:id="5"/>
            <w:r>
              <w:rPr>
                <w:rFonts w:ascii="ＭＳ ゴシック" w:eastAsia="ＭＳ ゴシック" w:hAnsi="ＭＳ ゴシック" w:cs="Meiryo UI" w:hint="eastAsia"/>
                <w:color w:val="000000" w:themeColor="text1"/>
                <w:sz w:val="20"/>
                <w:szCs w:val="24"/>
              </w:rPr>
              <w:t>２回の勧奨通知をしたことで、これまで受診券が送付されたことに関心が向いていなかった被保険者を中心に効果があったと思われる。</w:t>
            </w:r>
          </w:p>
        </w:tc>
        <w:tc>
          <w:tcPr>
            <w:tcW w:w="3209" w:type="dxa"/>
          </w:tcPr>
          <w:p>
            <w:pP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H30年度に実施した受診率の低い40歳代、50歳代に限定した勧奨は効果が小さく、受診率の寄与も小さい。また、受診率が高く勧奨の必要性が低いと考えられた60歳代以降でも受診率が低下し、勧奨通知によって健診を受診する者が一定数いるため、通知の送付は必要であると考えられた。</w:t>
            </w:r>
          </w:p>
        </w:tc>
        <w:tc>
          <w:tcPr>
            <w:tcW w:w="3210" w:type="dxa"/>
          </w:tcPr>
          <w:p>
            <w:pP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・40歳代・50歳代・60歳代不定期受診者に限定した受診勧奨は中止し、対象者の特性に応じた勧奨通知を送付する。</w:t>
            </w:r>
          </w:p>
          <w:p>
            <w:pP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・継続して人間ドック、職場健診等の結果の収集をする。</w:t>
            </w:r>
          </w:p>
          <w:p>
            <w:pPr>
              <w:rPr>
                <w:rFonts w:ascii="ＭＳ ゴシック" w:eastAsia="ＭＳ ゴシック" w:hAnsi="ＭＳ ゴシック" w:cs="Meiryo UI"/>
                <w:color w:val="000000" w:themeColor="text1"/>
                <w:sz w:val="20"/>
                <w:szCs w:val="24"/>
              </w:rPr>
            </w:pPr>
            <w:r>
              <w:rPr>
                <w:rFonts w:ascii="ＭＳ ゴシック" w:eastAsia="ＭＳ ゴシック" w:hAnsi="ＭＳ ゴシック" w:cs="Meiryo UI" w:hint="eastAsia"/>
                <w:color w:val="000000" w:themeColor="text1"/>
                <w:sz w:val="20"/>
                <w:szCs w:val="24"/>
              </w:rPr>
              <w:t>・連続未受診者の分析を実施する。生活習慣病治療者のうち未受診者を特定健診受診につなげる方策を検討していく。</w:t>
            </w:r>
          </w:p>
        </w:tc>
      </w:tr>
    </w:tbl>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cs="Meiryo UI" w:hint="eastAsia"/>
          <w:color w:val="000000" w:themeColor="text1"/>
          <w:sz w:val="24"/>
          <w:szCs w:val="24"/>
        </w:rPr>
        <w:t>④③</w:t>
      </w:r>
      <w:r>
        <w:rPr>
          <w:rFonts w:ascii="ＭＳ ゴシック" w:eastAsia="ＭＳ ゴシック" w:hAnsi="ＭＳ ゴシック" w:cs="Meiryo UI"/>
          <w:color w:val="000000" w:themeColor="text1"/>
          <w:sz w:val="24"/>
          <w:szCs w:val="24"/>
        </w:rPr>
        <w:t>の</w:t>
      </w:r>
      <w:r>
        <w:rPr>
          <w:rFonts w:ascii="ＭＳ ゴシック" w:eastAsia="ＭＳ ゴシック" w:hAnsi="ＭＳ ゴシック" w:cs="Meiryo UI" w:hint="eastAsia"/>
          <w:color w:val="000000" w:themeColor="text1"/>
          <w:sz w:val="24"/>
          <w:szCs w:val="24"/>
        </w:rPr>
        <w:t>見直しの</w:t>
      </w:r>
      <w:r>
        <w:rPr>
          <w:rFonts w:ascii="ＭＳ ゴシック" w:eastAsia="ＭＳ ゴシック" w:hAnsi="ＭＳ ゴシック" w:cs="Meiryo UI"/>
          <w:color w:val="000000" w:themeColor="text1"/>
          <w:sz w:val="24"/>
          <w:szCs w:val="24"/>
        </w:rPr>
        <w:t>結果、実施する</w:t>
      </w:r>
      <w:r>
        <w:rPr>
          <w:rFonts w:ascii="ＭＳ ゴシック" w:eastAsia="ＭＳ ゴシック" w:hAnsi="ＭＳ ゴシック" w:cs="Meiryo UI" w:hint="eastAsia"/>
          <w:color w:val="000000" w:themeColor="text1"/>
          <w:sz w:val="24"/>
          <w:szCs w:val="24"/>
        </w:rPr>
        <w:t>内容</w:t>
      </w:r>
    </w:p>
    <w:tbl>
      <w:tblPr>
        <w:tblStyle w:val="af5"/>
        <w:tblW w:w="0" w:type="auto"/>
        <w:tblLook w:val="04A0" w:firstRow="1" w:lastRow="0" w:firstColumn="1" w:lastColumn="0" w:noHBand="0" w:noVBand="1"/>
      </w:tblPr>
      <w:tblGrid>
        <w:gridCol w:w="1980"/>
        <w:gridCol w:w="7648"/>
      </w:tblGrid>
      <w:tr>
        <w:tc>
          <w:tcPr>
            <w:tcW w:w="9628"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内容</w:t>
            </w:r>
          </w:p>
        </w:tc>
      </w:tr>
      <w:tr>
        <w:tc>
          <w:tcPr>
            <w:tcW w:w="1980" w:type="dxa"/>
          </w:tcPr>
          <w:p>
            <w:pPr>
              <w:rPr>
                <w:rFonts w:ascii="ＭＳ ゴシック" w:eastAsia="ＭＳ ゴシック" w:hAnsi="ＭＳ ゴシック" w:cs="Meiryo UI"/>
                <w:color w:val="000000" w:themeColor="text1"/>
                <w:szCs w:val="20"/>
              </w:rPr>
            </w:pPr>
            <w:r>
              <w:rPr>
                <w:rFonts w:ascii="ＭＳ ゴシック" w:eastAsia="ＭＳ ゴシック" w:hAnsi="ＭＳ ゴシック" w:cs="Meiryo UI" w:hint="eastAsia"/>
                <w:color w:val="000000" w:themeColor="text1"/>
                <w:szCs w:val="20"/>
              </w:rPr>
              <w:t>ストラクチャー</w:t>
            </w:r>
          </w:p>
        </w:tc>
        <w:tc>
          <w:tcPr>
            <w:tcW w:w="7648" w:type="dxa"/>
          </w:tcPr>
          <w:p>
            <w:pPr>
              <w:spacing w:line="32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・予算の確保&lt;継続&gt;</w:t>
            </w:r>
          </w:p>
          <w:p>
            <w:pPr>
              <w:spacing w:line="32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・保険年金課、保健センターの連携&lt;継続&gt;</w:t>
            </w:r>
          </w:p>
          <w:p>
            <w:pPr>
              <w:spacing w:line="320" w:lineRule="exact"/>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・医療機関との連携&lt;継続&gt;</w:t>
            </w:r>
          </w:p>
        </w:tc>
      </w:tr>
      <w:tr>
        <w:trPr>
          <w:trHeight w:val="894"/>
        </w:trPr>
        <w:tc>
          <w:tcPr>
            <w:tcW w:w="1980" w:type="dxa"/>
          </w:tcPr>
          <w:p>
            <w:pPr>
              <w:rPr>
                <w:rFonts w:ascii="ＭＳ ゴシック" w:eastAsia="ＭＳ ゴシック" w:hAnsi="ＭＳ ゴシック" w:cs="Meiryo UI"/>
                <w:color w:val="000000" w:themeColor="text1"/>
                <w:szCs w:val="20"/>
              </w:rPr>
            </w:pPr>
            <w:r>
              <w:rPr>
                <w:rFonts w:ascii="ＭＳ ゴシック" w:eastAsia="ＭＳ ゴシック" w:hAnsi="ＭＳ ゴシック" w:cs="Meiryo UI" w:hint="eastAsia"/>
                <w:color w:val="000000" w:themeColor="text1"/>
                <w:szCs w:val="20"/>
              </w:rPr>
              <w:t>プロセス</w:t>
            </w:r>
          </w:p>
        </w:tc>
        <w:tc>
          <w:tcPr>
            <w:tcW w:w="7648" w:type="dxa"/>
          </w:tcPr>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・保険年金課・保健センター・委託業者との会議の開催&lt;継続&gt;</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・医師会・健診委託医療機関との協議&lt;継続&gt;</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・国保新規加入者へのチラシ配布&lt;継続&gt;</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・対象者に合った受診勧奨通知の送付&lt;令和元年度から&gt;</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・連続未受診者の医療機関受診状況の把握&lt;新規&gt;</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・上記の結果による未受診者へのアプローチ方法の検討&lt;新規&gt;</w:t>
            </w:r>
          </w:p>
        </w:tc>
      </w:tr>
    </w:tbl>
    <w:p>
      <w:pPr>
        <w:ind w:firstLineChars="100" w:firstLine="240"/>
        <w:rPr>
          <w:rFonts w:ascii="ＭＳ ゴシック" w:eastAsia="ＭＳ ゴシック" w:hAnsi="ＭＳ ゴシック" w:cs="Meiryo UI"/>
          <w:color w:val="000000" w:themeColor="text1"/>
          <w:sz w:val="24"/>
          <w:szCs w:val="20"/>
        </w:rPr>
      </w:pPr>
      <w:r>
        <w:rPr>
          <w:rFonts w:ascii="ＭＳ ゴシック" w:eastAsia="ＭＳ ゴシック" w:hAnsi="ＭＳ ゴシック" w:cs="Meiryo UI" w:hint="eastAsia"/>
          <w:color w:val="000000" w:themeColor="text1"/>
          <w:sz w:val="24"/>
          <w:szCs w:val="20"/>
        </w:rPr>
        <w:lastRenderedPageBreak/>
        <w:t>⑤具体的な事業実施</w:t>
      </w:r>
      <w:r>
        <w:rPr>
          <w:rFonts w:ascii="ＭＳ ゴシック" w:eastAsia="ＭＳ ゴシック" w:hAnsi="ＭＳ ゴシック" w:cs="Meiryo UI"/>
          <w:color w:val="000000" w:themeColor="text1"/>
          <w:sz w:val="24"/>
          <w:szCs w:val="20"/>
        </w:rPr>
        <w:t>内容</w:t>
      </w:r>
    </w:p>
    <w:tbl>
      <w:tblPr>
        <w:tblStyle w:val="af5"/>
        <w:tblW w:w="9634" w:type="dxa"/>
        <w:tblLook w:val="04A0" w:firstRow="1" w:lastRow="0" w:firstColumn="1" w:lastColumn="0" w:noHBand="0" w:noVBand="1"/>
      </w:tblPr>
      <w:tblGrid>
        <w:gridCol w:w="3145"/>
        <w:gridCol w:w="6489"/>
      </w:tblGrid>
      <w:tr>
        <w:tc>
          <w:tcPr>
            <w:tcW w:w="9634"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bookmarkStart w:id="6" w:name="_Hlk61884346"/>
            <w:r>
              <w:rPr>
                <w:rFonts w:ascii="ＭＳ ゴシック" w:eastAsia="ＭＳ ゴシック" w:hAnsi="ＭＳ ゴシック" w:cs="Meiryo UI" w:hint="eastAsia"/>
                <w:color w:val="000000" w:themeColor="text1"/>
                <w:sz w:val="20"/>
                <w:szCs w:val="20"/>
              </w:rPr>
              <w:t>事業</w:t>
            </w:r>
            <w:r>
              <w:rPr>
                <w:rFonts w:ascii="ＭＳ ゴシック" w:eastAsia="ＭＳ ゴシック" w:hAnsi="ＭＳ ゴシック" w:cs="Meiryo UI"/>
                <w:color w:val="000000" w:themeColor="text1"/>
                <w:sz w:val="20"/>
                <w:szCs w:val="20"/>
              </w:rPr>
              <w:t>実施</w:t>
            </w:r>
            <w:r>
              <w:rPr>
                <w:rFonts w:ascii="ＭＳ ゴシック" w:eastAsia="ＭＳ ゴシック" w:hAnsi="ＭＳ ゴシック" w:cs="Meiryo UI" w:hint="eastAsia"/>
                <w:color w:val="000000" w:themeColor="text1"/>
                <w:sz w:val="20"/>
                <w:szCs w:val="20"/>
              </w:rPr>
              <w:t>内容</w:t>
            </w:r>
          </w:p>
        </w:tc>
      </w:tr>
      <w:bookmarkEnd w:id="6"/>
      <w:tr>
        <w:trPr>
          <w:trHeight w:val="1124"/>
        </w:trPr>
        <w:tc>
          <w:tcPr>
            <w:tcW w:w="3145"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・窓口での</w:t>
            </w:r>
            <w:r>
              <w:rPr>
                <w:rFonts w:ascii="ＭＳ ゴシック" w:eastAsia="ＭＳ ゴシック" w:hAnsi="ＭＳ ゴシック" w:cs="Meiryo UI"/>
                <w:color w:val="000000" w:themeColor="text1"/>
                <w:sz w:val="20"/>
                <w:szCs w:val="20"/>
              </w:rPr>
              <w:t>働き</w:t>
            </w:r>
            <w:r>
              <w:rPr>
                <w:rFonts w:ascii="ＭＳ ゴシック" w:eastAsia="ＭＳ ゴシック" w:hAnsi="ＭＳ ゴシック" w:cs="Meiryo UI" w:hint="eastAsia"/>
                <w:color w:val="000000" w:themeColor="text1"/>
                <w:sz w:val="20"/>
                <w:szCs w:val="20"/>
              </w:rPr>
              <w:t>かけ</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・医療機関への</w:t>
            </w:r>
            <w:r>
              <w:rPr>
                <w:rFonts w:ascii="ＭＳ ゴシック" w:eastAsia="ＭＳ ゴシック" w:hAnsi="ＭＳ ゴシック" w:cs="Meiryo UI"/>
                <w:color w:val="000000" w:themeColor="text1"/>
                <w:sz w:val="20"/>
                <w:szCs w:val="20"/>
              </w:rPr>
              <w:t>働き</w:t>
            </w:r>
            <w:r>
              <w:rPr>
                <w:rFonts w:ascii="ＭＳ ゴシック" w:eastAsia="ＭＳ ゴシック" w:hAnsi="ＭＳ ゴシック" w:cs="Meiryo UI" w:hint="eastAsia"/>
                <w:color w:val="000000" w:themeColor="text1"/>
                <w:sz w:val="20"/>
                <w:szCs w:val="20"/>
              </w:rPr>
              <w:t>かけ</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・受診</w:t>
            </w:r>
            <w:r>
              <w:rPr>
                <w:rFonts w:ascii="ＭＳ ゴシック" w:eastAsia="ＭＳ ゴシック" w:hAnsi="ＭＳ ゴシック" w:cs="Meiryo UI"/>
                <w:color w:val="000000" w:themeColor="text1"/>
                <w:sz w:val="20"/>
                <w:szCs w:val="20"/>
              </w:rPr>
              <w:t>勧奨通知</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w:t>
            </w:r>
            <w:r>
              <w:rPr>
                <w:rFonts w:ascii="ＭＳ ゴシック" w:eastAsia="ＭＳ ゴシック" w:hAnsi="ＭＳ ゴシック" w:cs="Meiryo UI"/>
                <w:color w:val="000000" w:themeColor="text1"/>
                <w:sz w:val="20"/>
                <w:szCs w:val="20"/>
              </w:rPr>
              <w:t>人間ドック</w:t>
            </w:r>
            <w:r>
              <w:rPr>
                <w:rFonts w:ascii="ＭＳ ゴシック" w:eastAsia="ＭＳ ゴシック" w:hAnsi="ＭＳ ゴシック" w:cs="Meiryo UI" w:hint="eastAsia"/>
                <w:color w:val="000000" w:themeColor="text1"/>
                <w:sz w:val="20"/>
                <w:szCs w:val="20"/>
              </w:rPr>
              <w:t>、職場健診等</w:t>
            </w:r>
            <w:r>
              <w:rPr>
                <w:rFonts w:ascii="ＭＳ ゴシック" w:eastAsia="ＭＳ ゴシック" w:hAnsi="ＭＳ ゴシック" w:cs="Meiryo UI"/>
                <w:color w:val="000000" w:themeColor="text1"/>
                <w:sz w:val="20"/>
                <w:szCs w:val="20"/>
              </w:rPr>
              <w:t>の健診</w:t>
            </w:r>
            <w:r>
              <w:rPr>
                <w:rFonts w:ascii="ＭＳ ゴシック" w:eastAsia="ＭＳ ゴシック" w:hAnsi="ＭＳ ゴシック" w:cs="Meiryo UI" w:hint="eastAsia"/>
                <w:color w:val="000000" w:themeColor="text1"/>
                <w:sz w:val="20"/>
                <w:szCs w:val="20"/>
              </w:rPr>
              <w:t>結果</w:t>
            </w:r>
            <w:r>
              <w:rPr>
                <w:rFonts w:ascii="ＭＳ ゴシック" w:eastAsia="ＭＳ ゴシック" w:hAnsi="ＭＳ ゴシック" w:cs="Meiryo UI"/>
                <w:color w:val="000000" w:themeColor="text1"/>
                <w:sz w:val="20"/>
                <w:szCs w:val="20"/>
              </w:rPr>
              <w:t>の収集</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・連続未受診者の分析</w:t>
            </w:r>
          </w:p>
          <w:p>
            <w:pPr>
              <w:rPr>
                <w:rFonts w:ascii="ＭＳ ゴシック" w:eastAsia="ＭＳ ゴシック" w:hAnsi="ＭＳ ゴシック" w:cs="Meiryo UI"/>
                <w:color w:val="FF0000"/>
                <w:sz w:val="20"/>
                <w:szCs w:val="20"/>
              </w:rPr>
            </w:pPr>
          </w:p>
        </w:tc>
        <w:tc>
          <w:tcPr>
            <w:tcW w:w="6489"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・保険年金課</w:t>
            </w:r>
            <w:r>
              <w:rPr>
                <w:rFonts w:ascii="ＭＳ ゴシック" w:eastAsia="ＭＳ ゴシック" w:hAnsi="ＭＳ ゴシック" w:cs="Meiryo UI"/>
                <w:color w:val="000000" w:themeColor="text1"/>
                <w:sz w:val="20"/>
                <w:szCs w:val="20"/>
              </w:rPr>
              <w:t>の職員</w:t>
            </w:r>
            <w:r>
              <w:rPr>
                <w:rFonts w:ascii="ＭＳ ゴシック" w:eastAsia="ＭＳ ゴシック" w:hAnsi="ＭＳ ゴシック" w:cs="Meiryo UI" w:hint="eastAsia"/>
                <w:color w:val="000000" w:themeColor="text1"/>
                <w:sz w:val="20"/>
                <w:szCs w:val="20"/>
              </w:rPr>
              <w:t>による</w:t>
            </w:r>
            <w:r>
              <w:rPr>
                <w:rFonts w:ascii="ＭＳ ゴシック" w:eastAsia="ＭＳ ゴシック" w:hAnsi="ＭＳ ゴシック" w:cs="Meiryo UI"/>
                <w:color w:val="000000" w:themeColor="text1"/>
                <w:sz w:val="20"/>
                <w:szCs w:val="20"/>
              </w:rPr>
              <w:t>窓口で</w:t>
            </w:r>
            <w:r>
              <w:rPr>
                <w:rFonts w:ascii="ＭＳ ゴシック" w:eastAsia="ＭＳ ゴシック" w:hAnsi="ＭＳ ゴシック" w:cs="Meiryo UI" w:hint="eastAsia"/>
                <w:color w:val="000000" w:themeColor="text1"/>
                <w:sz w:val="20"/>
                <w:szCs w:val="20"/>
              </w:rPr>
              <w:t>の</w:t>
            </w:r>
            <w:r>
              <w:rPr>
                <w:rFonts w:ascii="ＭＳ ゴシック" w:eastAsia="ＭＳ ゴシック" w:hAnsi="ＭＳ ゴシック" w:cs="Meiryo UI"/>
                <w:color w:val="000000" w:themeColor="text1"/>
                <w:sz w:val="20"/>
                <w:szCs w:val="20"/>
              </w:rPr>
              <w:t>勧奨</w:t>
            </w:r>
            <w:r>
              <w:rPr>
                <w:rFonts w:ascii="ＭＳ ゴシック" w:eastAsia="ＭＳ ゴシック" w:hAnsi="ＭＳ ゴシック" w:cs="Meiryo UI" w:hint="eastAsia"/>
                <w:color w:val="000000" w:themeColor="text1"/>
                <w:sz w:val="20"/>
                <w:szCs w:val="20"/>
              </w:rPr>
              <w:t>のチラシの配布</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・医療機関</w:t>
            </w:r>
            <w:r>
              <w:rPr>
                <w:rFonts w:ascii="ＭＳ ゴシック" w:eastAsia="ＭＳ ゴシック" w:hAnsi="ＭＳ ゴシック" w:cs="Meiryo UI"/>
                <w:color w:val="000000" w:themeColor="text1"/>
                <w:sz w:val="20"/>
                <w:szCs w:val="20"/>
              </w:rPr>
              <w:t>に受診勧奨の協力を依頼す</w:t>
            </w:r>
            <w:r>
              <w:rPr>
                <w:rFonts w:ascii="ＭＳ ゴシック" w:eastAsia="ＭＳ ゴシック" w:hAnsi="ＭＳ ゴシック" w:cs="Meiryo UI" w:hint="eastAsia"/>
                <w:color w:val="000000" w:themeColor="text1"/>
                <w:sz w:val="20"/>
                <w:szCs w:val="20"/>
              </w:rPr>
              <w:t>る(</w:t>
            </w:r>
            <w:r>
              <w:rPr>
                <w:rFonts w:ascii="ＭＳ ゴシック" w:eastAsia="ＭＳ ゴシック" w:hAnsi="ＭＳ ゴシック" w:cs="Meiryo UI"/>
                <w:color w:val="000000" w:themeColor="text1"/>
                <w:sz w:val="20"/>
                <w:szCs w:val="20"/>
              </w:rPr>
              <w:t>6</w:t>
            </w:r>
            <w:r>
              <w:rPr>
                <w:rFonts w:ascii="ＭＳ ゴシック" w:eastAsia="ＭＳ ゴシック" w:hAnsi="ＭＳ ゴシック" w:cs="Meiryo UI" w:hint="eastAsia"/>
                <w:color w:val="000000" w:themeColor="text1"/>
                <w:sz w:val="20"/>
                <w:szCs w:val="20"/>
              </w:rPr>
              <w:t>月)</w:t>
            </w:r>
          </w:p>
          <w:p>
            <w:pPr>
              <w:ind w:left="200" w:hangingChars="100" w:hanging="200"/>
              <w:rPr>
                <w:rFonts w:ascii="ＭＳ ゴシック" w:eastAsia="ＭＳ ゴシック" w:hAnsi="ＭＳ ゴシック" w:cs="Meiryo UI"/>
                <w:color w:val="FF0000"/>
                <w:sz w:val="20"/>
                <w:szCs w:val="20"/>
              </w:rPr>
            </w:pPr>
            <w:r>
              <w:rPr>
                <w:rFonts w:ascii="ＭＳ ゴシック" w:eastAsia="ＭＳ ゴシック" w:hAnsi="ＭＳ ゴシック" w:cs="Meiryo UI" w:hint="eastAsia"/>
                <w:color w:val="000000" w:themeColor="text1"/>
                <w:sz w:val="20"/>
                <w:szCs w:val="20"/>
              </w:rPr>
              <w:t>・不定期受診者</w:t>
            </w:r>
            <w:r>
              <w:rPr>
                <w:rFonts w:ascii="ＭＳ ゴシック" w:eastAsia="ＭＳ ゴシック" w:hAnsi="ＭＳ ゴシック" w:cs="Meiryo UI"/>
                <w:color w:val="000000" w:themeColor="text1"/>
                <w:sz w:val="20"/>
                <w:szCs w:val="20"/>
              </w:rPr>
              <w:t>の特性に合わせた受診勧奨通知の送付、</w:t>
            </w:r>
            <w:r>
              <w:rPr>
                <w:rFonts w:ascii="ＭＳ ゴシック" w:eastAsia="ＭＳ ゴシック" w:hAnsi="ＭＳ ゴシック" w:cs="Meiryo UI" w:hint="eastAsia"/>
                <w:color w:val="000000" w:themeColor="text1"/>
                <w:sz w:val="20"/>
                <w:szCs w:val="20"/>
              </w:rPr>
              <w:t>未受診者の属性に合わせた受診勧奨通知の送付、さらに３ヶ月</w:t>
            </w:r>
            <w:r>
              <w:rPr>
                <w:rFonts w:ascii="ＭＳ ゴシック" w:eastAsia="ＭＳ ゴシック" w:hAnsi="ＭＳ ゴシック" w:cs="Meiryo UI"/>
                <w:color w:val="000000" w:themeColor="text1"/>
                <w:sz w:val="20"/>
                <w:szCs w:val="20"/>
              </w:rPr>
              <w:t>後再度未受診者を</w:t>
            </w:r>
            <w:r>
              <w:rPr>
                <w:rFonts w:ascii="ＭＳ ゴシック" w:eastAsia="ＭＳ ゴシック" w:hAnsi="ＭＳ ゴシック" w:cs="Meiryo UI" w:hint="eastAsia"/>
                <w:color w:val="000000" w:themeColor="text1"/>
                <w:sz w:val="20"/>
                <w:szCs w:val="20"/>
              </w:rPr>
              <w:t>抽出し</w:t>
            </w:r>
            <w:r>
              <w:rPr>
                <w:rFonts w:ascii="ＭＳ ゴシック" w:eastAsia="ＭＳ ゴシック" w:hAnsi="ＭＳ ゴシック" w:cs="Meiryo UI"/>
                <w:color w:val="000000" w:themeColor="text1"/>
                <w:sz w:val="20"/>
                <w:szCs w:val="20"/>
              </w:rPr>
              <w:t>、再勧奨</w:t>
            </w:r>
            <w:r>
              <w:rPr>
                <w:rFonts w:ascii="ＭＳ ゴシック" w:eastAsia="ＭＳ ゴシック" w:hAnsi="ＭＳ ゴシック" w:cs="Meiryo UI" w:hint="eastAsia"/>
                <w:color w:val="000000" w:themeColor="text1"/>
                <w:sz w:val="20"/>
                <w:szCs w:val="20"/>
              </w:rPr>
              <w:t>(6～10月)</w:t>
            </w:r>
          </w:p>
          <w:p>
            <w:pPr>
              <w:rPr>
                <w:rFonts w:ascii="ＭＳ ゴシック" w:eastAsia="ＭＳ ゴシック" w:hAnsi="ＭＳ ゴシック" w:cs="Meiryo UI"/>
                <w:color w:val="000000" w:themeColor="text1"/>
                <w:sz w:val="20"/>
                <w:szCs w:val="20"/>
                <w:highlight w:val="yellow"/>
              </w:rPr>
            </w:pPr>
            <w:r>
              <w:rPr>
                <w:rFonts w:ascii="ＭＳ ゴシック" w:eastAsia="ＭＳ ゴシック" w:hAnsi="ＭＳ ゴシック" w:cs="Meiryo UI" w:hint="eastAsia"/>
                <w:color w:val="000000" w:themeColor="text1"/>
                <w:sz w:val="20"/>
                <w:szCs w:val="20"/>
              </w:rPr>
              <w:t>・</w:t>
            </w:r>
            <w:r>
              <w:rPr>
                <w:rFonts w:ascii="ＭＳ ゴシック" w:eastAsia="ＭＳ ゴシック" w:hAnsi="ＭＳ ゴシック" w:cs="Meiryo UI"/>
                <w:color w:val="000000" w:themeColor="text1"/>
                <w:sz w:val="20"/>
                <w:szCs w:val="20"/>
              </w:rPr>
              <w:t>人間ドック</w:t>
            </w:r>
            <w:r>
              <w:rPr>
                <w:rFonts w:ascii="ＭＳ ゴシック" w:eastAsia="ＭＳ ゴシック" w:hAnsi="ＭＳ ゴシック" w:cs="Meiryo UI" w:hint="eastAsia"/>
                <w:color w:val="000000" w:themeColor="text1"/>
                <w:sz w:val="20"/>
                <w:szCs w:val="20"/>
              </w:rPr>
              <w:t>受検者の検査結果提出を必須とし、回収率の向上を図る。職場健診等受診者の健診結果の収集数を増やす。</w:t>
            </w:r>
          </w:p>
          <w:p>
            <w:pPr>
              <w:rPr>
                <w:rFonts w:ascii="ＭＳ ゴシック" w:eastAsia="ＭＳ ゴシック" w:hAnsi="ＭＳ ゴシック" w:cs="Meiryo UI"/>
                <w:color w:val="FF0000"/>
                <w:sz w:val="20"/>
                <w:szCs w:val="20"/>
              </w:rPr>
            </w:pPr>
            <w:r>
              <w:rPr>
                <w:rFonts w:ascii="ＭＳ ゴシック" w:eastAsia="ＭＳ ゴシック" w:hAnsi="ＭＳ ゴシック" w:cs="Meiryo UI" w:hint="eastAsia"/>
                <w:color w:val="000000" w:themeColor="text1"/>
                <w:sz w:val="20"/>
                <w:szCs w:val="20"/>
              </w:rPr>
              <w:t>・生活習慣病治療者のうち特定健診未受診者の受診している医療機関を把握し、新規で委託医療機関を増やすまたは、診療情報提供を受けるかなど検討する</w:t>
            </w:r>
          </w:p>
        </w:tc>
      </w:tr>
    </w:tbl>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p>
    <w:p>
      <w:pPr>
        <w:rPr>
          <w:rFonts w:ascii="ＭＳ ゴシック" w:eastAsia="ＭＳ ゴシック" w:hAnsi="ＭＳ ゴシック" w:cs="Calibri"/>
          <w:bCs/>
          <w:color w:val="000000" w:themeColor="text1"/>
          <w:kern w:val="0"/>
          <w:sz w:val="24"/>
          <w:szCs w:val="20"/>
        </w:rPr>
      </w:pPr>
      <w:r>
        <w:rPr>
          <w:rFonts w:ascii="ＭＳ ゴシック" w:eastAsia="ＭＳ ゴシック" w:hAnsi="ＭＳ ゴシック" w:cs="Calibri" w:hint="eastAsia"/>
          <w:bCs/>
          <w:color w:val="000000" w:themeColor="text1"/>
          <w:kern w:val="0"/>
          <w:sz w:val="24"/>
          <w:szCs w:val="20"/>
        </w:rPr>
        <w:lastRenderedPageBreak/>
        <w:t>（２）特定保健指導</w:t>
      </w:r>
      <w:r>
        <w:rPr>
          <w:rFonts w:ascii="ＭＳ ゴシック" w:eastAsia="ＭＳ ゴシック" w:hAnsi="ＭＳ ゴシック" w:cs="Calibri"/>
          <w:bCs/>
          <w:color w:val="000000" w:themeColor="text1"/>
          <w:kern w:val="0"/>
          <w:sz w:val="24"/>
          <w:szCs w:val="20"/>
        </w:rPr>
        <w:t>実施率向上</w:t>
      </w:r>
      <w:r>
        <w:rPr>
          <w:rFonts w:ascii="ＭＳ ゴシック" w:eastAsia="ＭＳ ゴシック" w:hAnsi="ＭＳ ゴシック" w:cs="Calibri" w:hint="eastAsia"/>
          <w:bCs/>
          <w:color w:val="000000" w:themeColor="text1"/>
          <w:kern w:val="0"/>
          <w:sz w:val="24"/>
          <w:szCs w:val="20"/>
        </w:rPr>
        <w:t>対策</w:t>
      </w:r>
      <w:r>
        <w:rPr>
          <w:rFonts w:ascii="ＭＳ ゴシック" w:eastAsia="ＭＳ ゴシック" w:hAnsi="ＭＳ ゴシック" w:cs="Calibri"/>
          <w:bCs/>
          <w:color w:val="000000" w:themeColor="text1"/>
          <w:kern w:val="0"/>
          <w:sz w:val="24"/>
          <w:szCs w:val="20"/>
        </w:rPr>
        <w:t>事業</w:t>
      </w:r>
    </w:p>
    <w:p>
      <w:pPr>
        <w:ind w:firstLineChars="100" w:firstLine="240"/>
        <w:rPr>
          <w:rFonts w:ascii="ＭＳ ゴシック" w:eastAsia="ＭＳ ゴシック" w:hAnsi="ＭＳ ゴシック" w:cs="Calibri"/>
          <w:b/>
          <w:bCs/>
          <w:color w:val="000000"/>
          <w:kern w:val="0"/>
          <w:sz w:val="20"/>
          <w:szCs w:val="20"/>
        </w:rPr>
      </w:pPr>
      <w:r>
        <w:rPr>
          <w:rFonts w:ascii="ＭＳ ゴシック" w:eastAsia="ＭＳ ゴシック" w:hAnsi="ＭＳ ゴシック" w:cs="Meiryo UI" w:hint="eastAsia"/>
          <w:color w:val="000000" w:themeColor="text1"/>
          <w:sz w:val="24"/>
          <w:szCs w:val="20"/>
        </w:rPr>
        <w:t>①評価指標及び最終</w:t>
      </w:r>
      <w:r>
        <w:rPr>
          <w:rFonts w:ascii="ＭＳ ゴシック" w:eastAsia="ＭＳ ゴシック" w:hAnsi="ＭＳ ゴシック" w:cs="Meiryo UI"/>
          <w:color w:val="000000" w:themeColor="text1"/>
          <w:sz w:val="24"/>
          <w:szCs w:val="20"/>
        </w:rPr>
        <w:t>目標値</w:t>
      </w:r>
    </w:p>
    <w:tbl>
      <w:tblPr>
        <w:tblStyle w:val="40"/>
        <w:tblW w:w="9781" w:type="dxa"/>
        <w:tblInd w:w="-5" w:type="dxa"/>
        <w:tblLook w:val="04A0" w:firstRow="1" w:lastRow="0" w:firstColumn="1" w:lastColumn="0" w:noHBand="0" w:noVBand="1"/>
      </w:tblPr>
      <w:tblGrid>
        <w:gridCol w:w="4820"/>
        <w:gridCol w:w="4961"/>
      </w:tblGrid>
      <w:tr>
        <w:trPr>
          <w:trHeight w:val="490"/>
        </w:trPr>
        <w:tc>
          <w:tcPr>
            <w:tcW w:w="4820"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評価指標</w:t>
            </w:r>
          </w:p>
        </w:tc>
        <w:tc>
          <w:tcPr>
            <w:tcW w:w="4961"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最終目標</w:t>
            </w:r>
          </w:p>
        </w:tc>
      </w:tr>
      <w:tr>
        <w:trPr>
          <w:trHeight w:val="490"/>
        </w:trPr>
        <w:tc>
          <w:tcPr>
            <w:tcW w:w="4820"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特定保健指導実施率</w:t>
            </w:r>
          </w:p>
        </w:tc>
        <w:tc>
          <w:tcPr>
            <w:tcW w:w="4961"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60％</w:t>
            </w:r>
          </w:p>
        </w:tc>
      </w:tr>
      <w:tr>
        <w:trPr>
          <w:trHeight w:val="490"/>
        </w:trPr>
        <w:tc>
          <w:tcPr>
            <w:tcW w:w="4820" w:type="dxa"/>
            <w:tcBorders>
              <w:top w:val="single" w:sz="4" w:space="0" w:color="000000"/>
              <w:left w:val="single" w:sz="4" w:space="0" w:color="000000"/>
              <w:bottom w:val="single" w:sz="4" w:space="0" w:color="auto"/>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sz w:val="20"/>
                <w:szCs w:val="20"/>
              </w:rPr>
              <w:t>対象者の発生率</w:t>
            </w:r>
          </w:p>
        </w:tc>
        <w:tc>
          <w:tcPr>
            <w:tcW w:w="4961"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sz w:val="20"/>
                <w:szCs w:val="20"/>
              </w:rPr>
              <w:t>平成30年度より2.5％減少</w:t>
            </w:r>
          </w:p>
        </w:tc>
      </w:tr>
    </w:tbl>
    <w:p>
      <w:pPr>
        <w:ind w:firstLineChars="100" w:firstLine="240"/>
        <w:jc w:val="center"/>
        <w:rPr>
          <w:rFonts w:ascii="ＭＳ ゴシック" w:eastAsia="ＭＳ ゴシック" w:hAnsi="ＭＳ ゴシック" w:cs="Calibri"/>
          <w:bCs/>
          <w:color w:val="000000"/>
          <w:kern w:val="0"/>
          <w:sz w:val="24"/>
          <w:szCs w:val="24"/>
        </w:rPr>
      </w:pPr>
    </w:p>
    <w:p>
      <w:pPr>
        <w:ind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cs="Calibri" w:hint="eastAsia"/>
          <w:bCs/>
          <w:color w:val="000000"/>
          <w:kern w:val="0"/>
          <w:sz w:val="24"/>
          <w:szCs w:val="24"/>
        </w:rPr>
        <w:t>②短期目標の評価と見直し（上段：目標値、下段：実績値）</w:t>
      </w:r>
    </w:p>
    <w:tbl>
      <w:tblPr>
        <w:tblW w:w="9781" w:type="dxa"/>
        <w:tblInd w:w="-5" w:type="dxa"/>
        <w:tblLayout w:type="fixed"/>
        <w:tblCellMar>
          <w:left w:w="99" w:type="dxa"/>
          <w:right w:w="99" w:type="dxa"/>
        </w:tblCellMar>
        <w:tblLook w:val="04A0" w:firstRow="1" w:lastRow="0" w:firstColumn="1" w:lastColumn="0" w:noHBand="0" w:noVBand="1"/>
      </w:tblPr>
      <w:tblGrid>
        <w:gridCol w:w="1560"/>
        <w:gridCol w:w="992"/>
        <w:gridCol w:w="1133"/>
        <w:gridCol w:w="1134"/>
        <w:gridCol w:w="1134"/>
        <w:gridCol w:w="1134"/>
        <w:gridCol w:w="1134"/>
        <w:gridCol w:w="1560"/>
      </w:tblGrid>
      <w:tr>
        <w:trPr>
          <w:trHeight w:val="575"/>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kern w:val="0"/>
                <w:sz w:val="22"/>
              </w:rPr>
            </w:pPr>
          </w:p>
        </w:tc>
        <w:tc>
          <w:tcPr>
            <w:tcW w:w="99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sz w:val="20"/>
              </w:rPr>
            </w:pP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H28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H29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H30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R元</w:t>
            </w:r>
          </w:p>
        </w:tc>
        <w:tc>
          <w:tcPr>
            <w:tcW w:w="1134" w:type="dxa"/>
            <w:tcBorders>
              <w:top w:val="single" w:sz="4" w:space="0" w:color="auto"/>
              <w:left w:val="nil"/>
              <w:bottom w:val="single" w:sz="4" w:space="0" w:color="auto"/>
              <w:right w:val="single" w:sz="4" w:space="0" w:color="auto"/>
            </w:tcBorders>
          </w:tcPr>
          <w:p>
            <w:pPr>
              <w:widowControl/>
              <w:spacing w:line="240" w:lineRule="exact"/>
              <w:rPr>
                <w:rFonts w:ascii="ＭＳ ゴシック" w:eastAsia="ＭＳ ゴシック" w:hAnsi="ＭＳ ゴシック" w:cs="Meiryo UI"/>
                <w:color w:val="000000" w:themeColor="text1"/>
                <w:sz w:val="20"/>
              </w:rPr>
            </w:pPr>
            <w:r>
              <w:rPr>
                <w:rFonts w:ascii="ＭＳ ゴシック" w:eastAsia="ＭＳ ゴシック" w:hAnsi="ＭＳ ゴシック" w:cs="Meiryo UI" w:hint="eastAsia"/>
                <w:color w:val="000000" w:themeColor="text1"/>
                <w:sz w:val="20"/>
              </w:rPr>
              <w:t>最終年度</w:t>
            </w:r>
            <w:r>
              <w:rPr>
                <w:rFonts w:ascii="ＭＳ ゴシック" w:eastAsia="ＭＳ ゴシック" w:hAnsi="ＭＳ ゴシック" w:cs="Meiryo UI" w:hint="eastAsia"/>
                <w:color w:val="000000" w:themeColor="text1"/>
                <w:sz w:val="18"/>
              </w:rPr>
              <w:t>（R５年度）</w:t>
            </w:r>
          </w:p>
        </w:tc>
        <w:tc>
          <w:tcPr>
            <w:tcW w:w="1560" w:type="dxa"/>
            <w:tcBorders>
              <w:top w:val="single" w:sz="4" w:space="0" w:color="auto"/>
              <w:left w:val="nil"/>
              <w:bottom w:val="single" w:sz="4" w:space="0" w:color="auto"/>
              <w:right w:val="single" w:sz="4" w:space="0" w:color="auto"/>
            </w:tcBorders>
          </w:tcPr>
          <w:p>
            <w:pPr>
              <w:widowControl/>
              <w:spacing w:line="240" w:lineRule="exact"/>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 xml:space="preserve">　　　　　　</w:t>
            </w:r>
            <w:r>
              <w:rPr>
                <w:rFonts w:ascii="ＭＳ ゴシック" w:eastAsia="ＭＳ ゴシック" w:hAnsi="ＭＳ ゴシック" w:cs="Meiryo UI" w:hint="eastAsia"/>
                <w:color w:val="000000" w:themeColor="text1"/>
                <w:sz w:val="20"/>
              </w:rPr>
              <w:t>達成状況</w:t>
            </w:r>
          </w:p>
        </w:tc>
      </w:tr>
      <w:tr>
        <w:trPr>
          <w:trHeight w:val="414"/>
        </w:trPr>
        <w:tc>
          <w:tcPr>
            <w:tcW w:w="1560" w:type="dxa"/>
            <w:vMerge w:val="restart"/>
            <w:tcBorders>
              <w:top w:val="single" w:sz="4" w:space="0" w:color="auto"/>
              <w:left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特定保健指導実施率</w:t>
            </w:r>
          </w:p>
        </w:tc>
        <w:tc>
          <w:tcPr>
            <w:tcW w:w="99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目標値</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17.9％</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17.6％</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ind w:right="39"/>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30％</w:t>
            </w:r>
          </w:p>
        </w:tc>
        <w:tc>
          <w:tcPr>
            <w:tcW w:w="1134" w:type="dxa"/>
            <w:tcBorders>
              <w:top w:val="single" w:sz="4" w:space="0" w:color="auto"/>
              <w:left w:val="nil"/>
              <w:bottom w:val="single" w:sz="4" w:space="0" w:color="auto"/>
              <w:right w:val="single" w:sz="4" w:space="0" w:color="auto"/>
            </w:tcBorders>
          </w:tcPr>
          <w:p>
            <w:pPr>
              <w:widowControl/>
              <w:tabs>
                <w:tab w:val="center" w:pos="753"/>
                <w:tab w:val="right" w:pos="1101"/>
              </w:tabs>
              <w:jc w:val="lef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ab/>
            </w:r>
            <w:r>
              <w:rPr>
                <w:rFonts w:ascii="ＭＳ ゴシック" w:eastAsia="ＭＳ ゴシック" w:hAnsi="ＭＳ ゴシック" w:cs="ＭＳ Ｐゴシック" w:hint="eastAsia"/>
                <w:color w:val="000000"/>
                <w:kern w:val="0"/>
              </w:rPr>
              <w:t>60％</w:t>
            </w:r>
          </w:p>
        </w:tc>
        <w:tc>
          <w:tcPr>
            <w:tcW w:w="1560" w:type="dxa"/>
            <w:vMerge w:val="restart"/>
            <w:tcBorders>
              <w:top w:val="single" w:sz="4" w:space="0" w:color="auto"/>
              <w:left w:val="nil"/>
              <w:right w:val="single" w:sz="4" w:space="0" w:color="auto"/>
            </w:tcBorders>
          </w:tcPr>
          <w:p>
            <w:pPr>
              <w:widowControl/>
              <w:ind w:right="185"/>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未達成</w:t>
            </w:r>
          </w:p>
        </w:tc>
      </w:tr>
      <w:tr>
        <w:trPr>
          <w:trHeight w:val="419"/>
        </w:trPr>
        <w:tc>
          <w:tcPr>
            <w:tcW w:w="1560" w:type="dxa"/>
            <w:vMerge/>
            <w:tcBorders>
              <w:left w:val="single" w:sz="4" w:space="0" w:color="auto"/>
              <w:bottom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p>
        </w:tc>
        <w:tc>
          <w:tcPr>
            <w:tcW w:w="992"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実績値</w:t>
            </w:r>
          </w:p>
        </w:tc>
        <w:tc>
          <w:tcPr>
            <w:tcW w:w="1133" w:type="dxa"/>
            <w:tcBorders>
              <w:top w:val="single" w:sz="4" w:space="0" w:color="auto"/>
              <w:left w:val="single" w:sz="4" w:space="0" w:color="auto"/>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17.3％</w:t>
            </w:r>
          </w:p>
        </w:tc>
        <w:tc>
          <w:tcPr>
            <w:tcW w:w="1134"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17.0％</w:t>
            </w:r>
          </w:p>
        </w:tc>
        <w:tc>
          <w:tcPr>
            <w:tcW w:w="1134" w:type="dxa"/>
            <w:tcBorders>
              <w:top w:val="single" w:sz="4" w:space="0" w:color="auto"/>
              <w:left w:val="nil"/>
              <w:bottom w:val="single" w:sz="4" w:space="0" w:color="auto"/>
              <w:right w:val="single" w:sz="4" w:space="0" w:color="auto"/>
            </w:tcBorders>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w:t>
            </w:r>
          </w:p>
        </w:tc>
        <w:tc>
          <w:tcPr>
            <w:tcW w:w="1560" w:type="dxa"/>
            <w:vMerge/>
            <w:tcBorders>
              <w:left w:val="nil"/>
              <w:bottom w:val="single" w:sz="4" w:space="0" w:color="auto"/>
              <w:right w:val="single" w:sz="4" w:space="0" w:color="auto"/>
            </w:tcBorders>
          </w:tcPr>
          <w:p>
            <w:pPr>
              <w:widowControl/>
              <w:jc w:val="right"/>
              <w:rPr>
                <w:rFonts w:ascii="ＭＳ ゴシック" w:eastAsia="ＭＳ ゴシック" w:hAnsi="ＭＳ ゴシック" w:cs="ＭＳ Ｐゴシック"/>
                <w:color w:val="000000"/>
                <w:kern w:val="0"/>
              </w:rPr>
            </w:pPr>
          </w:p>
        </w:tc>
      </w:tr>
    </w:tbl>
    <w:p>
      <w:pPr>
        <w:rPr>
          <w:rFonts w:ascii="ＭＳ ゴシック" w:eastAsia="ＭＳ ゴシック" w:hAnsi="ＭＳ ゴシック"/>
          <w:color w:val="000000" w:themeColor="text1"/>
          <w:sz w:val="24"/>
          <w:szCs w:val="24"/>
        </w:rPr>
      </w:pP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hint="eastAsia"/>
          <w:color w:val="000000" w:themeColor="text1"/>
          <w:sz w:val="24"/>
          <w:szCs w:val="24"/>
        </w:rPr>
        <w:t>③達成</w:t>
      </w:r>
      <w:r>
        <w:rPr>
          <w:rFonts w:ascii="ＭＳ ゴシック" w:eastAsia="ＭＳ ゴシック" w:hAnsi="ＭＳ ゴシック"/>
          <w:color w:val="000000" w:themeColor="text1"/>
          <w:sz w:val="24"/>
          <w:szCs w:val="24"/>
        </w:rPr>
        <w:t>、未達成要因及び事業の方向性</w:t>
      </w:r>
    </w:p>
    <w:tbl>
      <w:tblPr>
        <w:tblStyle w:val="af5"/>
        <w:tblW w:w="9776" w:type="dxa"/>
        <w:tblLook w:val="04A0" w:firstRow="1" w:lastRow="0" w:firstColumn="1" w:lastColumn="0" w:noHBand="0" w:noVBand="1"/>
      </w:tblPr>
      <w:tblGrid>
        <w:gridCol w:w="2972"/>
        <w:gridCol w:w="2977"/>
        <w:gridCol w:w="3827"/>
      </w:tblGrid>
      <w:tr>
        <w:tc>
          <w:tcPr>
            <w:tcW w:w="2972"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達成要因</w:t>
            </w:r>
          </w:p>
        </w:tc>
        <w:tc>
          <w:tcPr>
            <w:tcW w:w="2977"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未達成要因</w:t>
            </w:r>
          </w:p>
        </w:tc>
        <w:tc>
          <w:tcPr>
            <w:tcW w:w="3827" w:type="dxa"/>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事業の方向性</w:t>
            </w:r>
          </w:p>
        </w:tc>
      </w:tr>
      <w:tr>
        <w:tc>
          <w:tcPr>
            <w:tcW w:w="2972" w:type="dxa"/>
          </w:tcPr>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・H30年度までは、利用勧奨通知を年に2回（12月・3月）送付していた。</w:t>
            </w:r>
          </w:p>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・R元年度からは、利用券の送付１週間後に利用勧奨を毎月送付したことで、これまでより反響があり、利用者数が増加したことから通知の送付時期が効果的であったと考えられる。</w:t>
            </w:r>
          </w:p>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・特定保健指導の委託医療機関との契約数の拡大に関しては、結果説明時に初回指導を実施する機関数が増加した。そのため、委託医療機関での保健指導の実施者数が増加した。</w:t>
            </w:r>
          </w:p>
        </w:tc>
        <w:tc>
          <w:tcPr>
            <w:tcW w:w="2977" w:type="dxa"/>
          </w:tcPr>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・保健指導実施機関数は拡大しているが、特定健診と比較すると実施機関数が少ないため、利用者にとって利用しやすい環境が不十分と考えられる。</w:t>
            </w:r>
          </w:p>
          <w:p>
            <w:pPr>
              <w:jc w:val="left"/>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・LDLコレステロール値の高い者に対して、健康教育、健康相談を実施したが、LDLコレステロール値は特定保健指導の選定項目ではないため、実施率に寄与しなかった。</w:t>
            </w:r>
          </w:p>
          <w:p>
            <w:pPr>
              <w:rPr>
                <w:rFonts w:ascii="ＭＳ ゴシック" w:eastAsia="ＭＳ ゴシック" w:hAnsi="ＭＳ ゴシック" w:cs="Meiryo UI"/>
                <w:color w:val="000000" w:themeColor="text1"/>
                <w:sz w:val="18"/>
                <w:szCs w:val="18"/>
              </w:rPr>
            </w:pPr>
          </w:p>
        </w:tc>
        <w:tc>
          <w:tcPr>
            <w:tcW w:w="3827" w:type="dxa"/>
          </w:tcPr>
          <w:p>
            <w:pPr>
              <w:jc w:val="left"/>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・継続して電話、通知による利用勧奨を行う。</w:t>
            </w:r>
          </w:p>
          <w:p>
            <w:pPr>
              <w:jc w:val="left"/>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・特定保健指導の対象者を減少させるために、前年度の保健指導対象者に健診前に架電等し、生活改善のためのアドバイスを行う。</w:t>
            </w:r>
          </w:p>
          <w:p>
            <w:pPr>
              <w:jc w:val="left"/>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・特定保健指導委託医療機関等の拡大については、特定健診受診者の多い医療機関に依頼するなど対象者が利用しやすい仕組みにしていくため、拡充に向けて医療機関に説明を行っていく。</w:t>
            </w:r>
          </w:p>
          <w:p>
            <w:pPr>
              <w:jc w:val="left"/>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・LDLコレステロール値の高い者に対象を限定した健康教育・健康相談は循環器疾患、がん予防対策事業として実施する。</w:t>
            </w:r>
          </w:p>
          <w:p>
            <w:pPr>
              <w:jc w:val="left"/>
              <w:rPr>
                <w:rFonts w:ascii="ＭＳ ゴシック" w:eastAsia="ＭＳ ゴシック" w:hAnsi="ＭＳ ゴシック" w:cs="Meiryo UI"/>
                <w:color w:val="000000" w:themeColor="text1"/>
                <w:sz w:val="18"/>
                <w:szCs w:val="18"/>
              </w:rPr>
            </w:pPr>
          </w:p>
        </w:tc>
      </w:tr>
    </w:tbl>
    <w:p>
      <w:pPr>
        <w:ind w:firstLineChars="100" w:firstLine="240"/>
        <w:rPr>
          <w:rFonts w:ascii="ＭＳ ゴシック" w:eastAsia="ＭＳ ゴシック" w:hAnsi="ＭＳ ゴシック" w:cs="Meiryo UI"/>
          <w:color w:val="000000" w:themeColor="text1"/>
          <w:sz w:val="24"/>
          <w:szCs w:val="24"/>
        </w:rPr>
      </w:pP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cs="Meiryo UI" w:hint="eastAsia"/>
          <w:color w:val="000000" w:themeColor="text1"/>
          <w:sz w:val="24"/>
          <w:szCs w:val="24"/>
        </w:rPr>
        <w:t>④③</w:t>
      </w:r>
      <w:r>
        <w:rPr>
          <w:rFonts w:ascii="ＭＳ ゴシック" w:eastAsia="ＭＳ ゴシック" w:hAnsi="ＭＳ ゴシック" w:cs="Meiryo UI"/>
          <w:color w:val="000000" w:themeColor="text1"/>
          <w:sz w:val="24"/>
          <w:szCs w:val="24"/>
        </w:rPr>
        <w:t>の</w:t>
      </w:r>
      <w:r>
        <w:rPr>
          <w:rFonts w:ascii="ＭＳ ゴシック" w:eastAsia="ＭＳ ゴシック" w:hAnsi="ＭＳ ゴシック" w:cs="Meiryo UI" w:hint="eastAsia"/>
          <w:color w:val="000000" w:themeColor="text1"/>
          <w:sz w:val="24"/>
          <w:szCs w:val="24"/>
        </w:rPr>
        <w:t>見直しの</w:t>
      </w:r>
      <w:r>
        <w:rPr>
          <w:rFonts w:ascii="ＭＳ ゴシック" w:eastAsia="ＭＳ ゴシック" w:hAnsi="ＭＳ ゴシック" w:cs="Meiryo UI"/>
          <w:color w:val="000000" w:themeColor="text1"/>
          <w:sz w:val="24"/>
          <w:szCs w:val="24"/>
        </w:rPr>
        <w:t>結果、実施する</w:t>
      </w:r>
      <w:r>
        <w:rPr>
          <w:rFonts w:ascii="ＭＳ ゴシック" w:eastAsia="ＭＳ ゴシック" w:hAnsi="ＭＳ ゴシック" w:cs="Meiryo UI" w:hint="eastAsia"/>
          <w:color w:val="000000" w:themeColor="text1"/>
          <w:sz w:val="24"/>
          <w:szCs w:val="24"/>
        </w:rPr>
        <w:t>内容</w:t>
      </w:r>
    </w:p>
    <w:tbl>
      <w:tblPr>
        <w:tblStyle w:val="af5"/>
        <w:tblW w:w="9776" w:type="dxa"/>
        <w:tblLook w:val="04A0" w:firstRow="1" w:lastRow="0" w:firstColumn="1" w:lastColumn="0" w:noHBand="0" w:noVBand="1"/>
      </w:tblPr>
      <w:tblGrid>
        <w:gridCol w:w="1980"/>
        <w:gridCol w:w="7796"/>
      </w:tblGrid>
      <w:tr>
        <w:tc>
          <w:tcPr>
            <w:tcW w:w="9776"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bookmarkStart w:id="7" w:name="_Hlk62467278"/>
            <w:r>
              <w:rPr>
                <w:rFonts w:ascii="ＭＳ ゴシック" w:eastAsia="ＭＳ ゴシック" w:hAnsi="ＭＳ ゴシック" w:cs="Meiryo UI" w:hint="eastAsia"/>
                <w:color w:val="000000" w:themeColor="text1"/>
                <w:sz w:val="20"/>
                <w:szCs w:val="20"/>
              </w:rPr>
              <w:t>内容</w:t>
            </w:r>
          </w:p>
        </w:tc>
      </w:tr>
      <w:bookmarkEnd w:id="7"/>
      <w:tr>
        <w:tc>
          <w:tcPr>
            <w:tcW w:w="1980" w:type="dxa"/>
          </w:tcPr>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ストラクチャー</w:t>
            </w:r>
          </w:p>
        </w:tc>
        <w:tc>
          <w:tcPr>
            <w:tcW w:w="7796" w:type="dxa"/>
          </w:tcPr>
          <w:p>
            <w:pPr>
              <w:spacing w:line="32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・予算の確保</w:t>
            </w:r>
            <w:r>
              <w:rPr>
                <w:rFonts w:ascii="ＭＳ ゴシック" w:eastAsia="ＭＳ ゴシック" w:hAnsi="ＭＳ ゴシック" w:hint="eastAsia"/>
                <w:sz w:val="18"/>
                <w:szCs w:val="18"/>
              </w:rPr>
              <w:t>〈継続〉</w:t>
            </w:r>
          </w:p>
          <w:p>
            <w:pPr>
              <w:spacing w:line="32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・保健指導員の確保(在宅保健師・管理栄養士)の確保</w:t>
            </w:r>
            <w:r>
              <w:rPr>
                <w:rFonts w:ascii="ＭＳ ゴシック" w:eastAsia="ＭＳ ゴシック" w:hAnsi="ＭＳ ゴシック" w:hint="eastAsia"/>
                <w:sz w:val="18"/>
                <w:szCs w:val="18"/>
              </w:rPr>
              <w:t>〈継続〉</w:t>
            </w:r>
          </w:p>
          <w:p>
            <w:pPr>
              <w:spacing w:line="320" w:lineRule="exact"/>
              <w:jc w:val="left"/>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・医療機関との連携</w:t>
            </w:r>
            <w:r>
              <w:rPr>
                <w:rFonts w:ascii="ＭＳ ゴシック" w:eastAsia="ＭＳ ゴシック" w:hAnsi="ＭＳ ゴシック" w:hint="eastAsia"/>
                <w:sz w:val="18"/>
                <w:szCs w:val="18"/>
              </w:rPr>
              <w:t>〈継続〉</w:t>
            </w:r>
          </w:p>
        </w:tc>
      </w:tr>
      <w:tr>
        <w:trPr>
          <w:trHeight w:val="1131"/>
        </w:trPr>
        <w:tc>
          <w:tcPr>
            <w:tcW w:w="1980" w:type="dxa"/>
          </w:tcPr>
          <w:p>
            <w:pPr>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color w:val="000000" w:themeColor="text1"/>
                <w:sz w:val="18"/>
                <w:szCs w:val="18"/>
              </w:rPr>
              <w:t>プロセス</w:t>
            </w:r>
          </w:p>
        </w:tc>
        <w:tc>
          <w:tcPr>
            <w:tcW w:w="7796" w:type="dxa"/>
          </w:tcPr>
          <w:p>
            <w:pP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・利用勧奨マニュアルの見直し(前年度データのある者に対し、健診実施前の生活指導を行えるものとする)</w:t>
            </w:r>
            <w:r>
              <w:rPr>
                <w:rFonts w:ascii="ＭＳ ゴシック" w:eastAsia="ＭＳ ゴシック" w:hAnsi="ＭＳ ゴシック" w:hint="eastAsia"/>
                <w:sz w:val="18"/>
                <w:szCs w:val="18"/>
              </w:rPr>
              <w:t xml:space="preserve"> 〈継続〉</w:t>
            </w:r>
          </w:p>
          <w:p>
            <w:pP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・特定保健指導委託医療機関へのヒアリングと拡充のための説明を実施</w:t>
            </w:r>
            <w:r>
              <w:rPr>
                <w:rFonts w:ascii="ＭＳ ゴシック" w:eastAsia="ＭＳ ゴシック" w:hAnsi="ＭＳ ゴシック" w:hint="eastAsia"/>
                <w:sz w:val="18"/>
                <w:szCs w:val="18"/>
              </w:rPr>
              <w:t>〈新規〉</w:t>
            </w:r>
          </w:p>
          <w:p>
            <w:pPr>
              <w:rPr>
                <w:rFonts w:ascii="ＭＳ ゴシック" w:eastAsia="ＭＳ ゴシック" w:hAnsi="ＭＳ ゴシック"/>
                <w:color w:val="000000" w:themeColor="text1"/>
                <w:sz w:val="18"/>
                <w:szCs w:val="18"/>
              </w:rPr>
            </w:pPr>
            <w:r>
              <w:rPr>
                <w:rFonts w:ascii="ＭＳ ゴシック" w:eastAsia="ＭＳ ゴシック" w:hAnsi="ＭＳ ゴシック" w:hint="eastAsia"/>
                <w:color w:val="000000" w:themeColor="text1"/>
                <w:sz w:val="18"/>
                <w:szCs w:val="18"/>
              </w:rPr>
              <w:t>・委託医療機関への保健指導マニュアルの配布</w:t>
            </w:r>
            <w:r>
              <w:rPr>
                <w:rFonts w:ascii="ＭＳ ゴシック" w:eastAsia="ＭＳ ゴシック" w:hAnsi="ＭＳ ゴシック" w:hint="eastAsia"/>
                <w:sz w:val="18"/>
                <w:szCs w:val="18"/>
              </w:rPr>
              <w:t>〈継続〉</w:t>
            </w:r>
          </w:p>
        </w:tc>
      </w:tr>
    </w:tbl>
    <w:p>
      <w:pPr>
        <w:ind w:firstLineChars="100" w:firstLine="240"/>
        <w:rPr>
          <w:rFonts w:ascii="ＭＳ ゴシック" w:eastAsia="ＭＳ ゴシック" w:hAnsi="ＭＳ ゴシック" w:cs="Meiryo UI"/>
          <w:color w:val="000000" w:themeColor="text1"/>
          <w:sz w:val="24"/>
          <w:szCs w:val="20"/>
        </w:rPr>
      </w:pPr>
    </w:p>
    <w:p>
      <w:pPr>
        <w:ind w:firstLineChars="100" w:firstLine="24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4"/>
          <w:szCs w:val="20"/>
        </w:rPr>
        <w:lastRenderedPageBreak/>
        <w:t>⑤具体的な事業実施</w:t>
      </w:r>
      <w:r>
        <w:rPr>
          <w:rFonts w:ascii="ＭＳ ゴシック" w:eastAsia="ＭＳ ゴシック" w:hAnsi="ＭＳ ゴシック" w:cs="Meiryo UI"/>
          <w:color w:val="000000" w:themeColor="text1"/>
          <w:sz w:val="24"/>
          <w:szCs w:val="20"/>
        </w:rPr>
        <w:t>内容</w:t>
      </w:r>
    </w:p>
    <w:tbl>
      <w:tblPr>
        <w:tblStyle w:val="8"/>
        <w:tblW w:w="9776" w:type="dxa"/>
        <w:tblLook w:val="04A0" w:firstRow="1" w:lastRow="0" w:firstColumn="1" w:lastColumn="0" w:noHBand="0" w:noVBand="1"/>
      </w:tblPr>
      <w:tblGrid>
        <w:gridCol w:w="9776"/>
      </w:tblGrid>
      <w:tr>
        <w:tc>
          <w:tcPr>
            <w:tcW w:w="97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事業実施内容</w:t>
            </w:r>
          </w:p>
        </w:tc>
      </w:tr>
    </w:tbl>
    <w:tbl>
      <w:tblPr>
        <w:tblStyle w:val="1-2"/>
        <w:tblW w:w="9776" w:type="dxa"/>
        <w:tblLook w:val="04A0" w:firstRow="1" w:lastRow="0" w:firstColumn="1" w:lastColumn="0" w:noHBand="0" w:noVBand="1"/>
      </w:tblPr>
      <w:tblGrid>
        <w:gridCol w:w="2122"/>
        <w:gridCol w:w="7654"/>
      </w:tblGrid>
      <w:tr>
        <w:trPr>
          <w:cnfStyle w:val="100000000000" w:firstRow="1" w:lastRow="0" w:firstColumn="0" w:lastColumn="0" w:oddVBand="0" w:evenVBand="0" w:oddHBand="0" w:evenHBand="0" w:firstRowFirstColumn="0" w:firstRowLastColumn="0" w:lastRowFirstColumn="0" w:lastRowLastColumn="0"/>
          <w:trHeight w:val="1124"/>
        </w:trPr>
        <w:tc>
          <w:tcPr>
            <w:cnfStyle w:val="001000000000" w:firstRow="0" w:lastRow="0" w:firstColumn="1" w:lastColumn="0" w:oddVBand="0" w:evenVBand="0" w:oddHBand="0" w:evenHBand="0" w:firstRowFirstColumn="0" w:firstRowLastColumn="0" w:lastRowFirstColumn="0" w:lastRowLastColumn="0"/>
            <w:tcW w:w="2122" w:type="dxa"/>
            <w:tcBorders>
              <w:top w:val="nil"/>
              <w:left w:val="single" w:sz="4" w:space="0" w:color="auto"/>
              <w:bottom w:val="single" w:sz="4" w:space="0" w:color="auto"/>
              <w:right w:val="single" w:sz="4" w:space="0" w:color="auto"/>
            </w:tcBorders>
          </w:tcPr>
          <w:p>
            <w:pPr>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・利用勧奨</w:t>
            </w:r>
          </w:p>
          <w:p>
            <w:pPr>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・保健指導の充実</w:t>
            </w:r>
          </w:p>
          <w:p>
            <w:pPr>
              <w:rPr>
                <w:rFonts w:ascii="ＭＳ ゴシック" w:eastAsia="ＭＳ ゴシック" w:hAnsi="ＭＳ ゴシック" w:cs="Meiryo UI"/>
                <w:color w:val="FF0000"/>
                <w:sz w:val="18"/>
                <w:szCs w:val="18"/>
              </w:rPr>
            </w:pPr>
            <w:r>
              <w:rPr>
                <w:rFonts w:ascii="ＭＳ ゴシック" w:eastAsia="ＭＳ ゴシック" w:hAnsi="ＭＳ ゴシック" w:cs="Meiryo UI" w:hint="eastAsia"/>
                <w:noProof/>
                <w:color w:val="000000" w:themeColor="text1"/>
                <w:sz w:val="18"/>
                <w:szCs w:val="18"/>
              </w:rPr>
              <mc:AlternateContent>
                <mc:Choice Requires="wps">
                  <w:drawing>
                    <wp:anchor distT="0" distB="0" distL="114300" distR="114300" simplePos="0" relativeHeight="251778560" behindDoc="0" locked="0" layoutInCell="1" allowOverlap="1">
                      <wp:simplePos x="0" y="0"/>
                      <wp:positionH relativeFrom="column">
                        <wp:posOffset>1275079</wp:posOffset>
                      </wp:positionH>
                      <wp:positionV relativeFrom="paragraph">
                        <wp:posOffset>1129665</wp:posOffset>
                      </wp:positionV>
                      <wp:extent cx="4848225" cy="57150"/>
                      <wp:effectExtent l="0" t="0" r="28575" b="19050"/>
                      <wp:wrapNone/>
                      <wp:docPr id="5" name="直線コネクタ 5"/>
                      <wp:cNvGraphicFramePr/>
                      <a:graphic xmlns:a="http://schemas.openxmlformats.org/drawingml/2006/main">
                        <a:graphicData uri="http://schemas.microsoft.com/office/word/2010/wordprocessingShape">
                          <wps:wsp>
                            <wps:cNvCnPr/>
                            <wps:spPr>
                              <a:xfrm>
                                <a:off x="0" y="0"/>
                                <a:ext cx="4848225" cy="57150"/>
                              </a:xfrm>
                              <a:prstGeom prst="line">
                                <a:avLst/>
                              </a:prstGeom>
                              <a:ln>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直線コネクタ 5" o:spid="_x0000_s1026" style="position:absolute;left:0;text-align:left;z-index:251778560;visibility:visible;mso-wrap-style:square;mso-wrap-distance-left:9pt;mso-wrap-distance-top:0;mso-wrap-distance-right:9pt;mso-wrap-distance-bottom:0;mso-position-horizontal:absolute;mso-position-horizontal-relative:text;mso-position-vertical:absolute;mso-position-vertical-relative:text" from="100.4pt,88.95pt" to="482.15pt,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" strokecolor="#0d0d0d [3069]" strokeweight=".5pt">
                      <v:stroke joinstyle="miter"/>
                    </v:line>
                  </w:pict>
                </mc:Fallback>
              </mc:AlternateContent>
            </w:r>
            <w:r>
              <w:rPr>
                <w:rFonts w:ascii="ＭＳ ゴシック" w:eastAsia="ＭＳ ゴシック" w:hAnsi="ＭＳ ゴシック" w:cs="Meiryo UI" w:hint="eastAsia"/>
                <w:b w:val="0"/>
                <w:color w:val="000000" w:themeColor="text1"/>
                <w:sz w:val="18"/>
                <w:szCs w:val="18"/>
              </w:rPr>
              <w:t>・委託医療機関の拡充</w:t>
            </w:r>
          </w:p>
        </w:tc>
        <w:tc>
          <w:tcPr>
            <w:tcW w:w="7654" w:type="dxa"/>
            <w:tcBorders>
              <w:top w:val="nil"/>
              <w:left w:val="single" w:sz="4" w:space="0" w:color="auto"/>
              <w:bottom w:val="single" w:sz="4" w:space="0" w:color="auto"/>
              <w:right w:val="single" w:sz="4" w:space="0" w:color="auto"/>
            </w:tcBorders>
          </w:tcPr>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〈対象〉特定保健指導未利用者</w:t>
            </w:r>
          </w:p>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〈方法〉通知・電話</w:t>
            </w:r>
          </w:p>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〈スケジュール〉</w:t>
            </w:r>
          </w:p>
          <w:p>
            <w:pP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 xml:space="preserve"> ・利用勧奨通知の利用券発送後、1週間後に勧奨実施、月ごとに実施(毎月) </w:t>
            </w:r>
          </w:p>
          <w:p>
            <w:pPr>
              <w:ind w:left="180" w:hangingChars="100" w:hanging="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 xml:space="preserve"> ・前年度保健指導対象者で保健指導判定値の基準との差の少ないもの、腹囲及びBMIが基準値をやや超えているものについては生活改善をした上で健診受診できるよう情報提供する(通年)</w:t>
            </w:r>
          </w:p>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〈対象〉特定保健指導対象者</w:t>
            </w:r>
          </w:p>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 xml:space="preserve">〈方法〉個別指導・集団指導　</w:t>
            </w:r>
          </w:p>
          <w:p>
            <w:pPr>
              <w:ind w:firstLineChars="100" w:firstLine="180"/>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color w:val="000000" w:themeColor="text1"/>
                <w:sz w:val="18"/>
                <w:szCs w:val="18"/>
              </w:rPr>
            </w:pPr>
            <w:r>
              <w:rPr>
                <w:rFonts w:ascii="ＭＳ ゴシック" w:eastAsia="ＭＳ ゴシック" w:hAnsi="ＭＳ ゴシック" w:cs="Meiryo UI" w:hint="eastAsia"/>
                <w:b w:val="0"/>
                <w:color w:val="000000" w:themeColor="text1"/>
                <w:sz w:val="18"/>
                <w:szCs w:val="18"/>
              </w:rPr>
              <w:t>〈時期〉個別 10月～翌3月  集団  12月～翌3月</w:t>
            </w:r>
          </w:p>
          <w:p>
            <w:pP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 w:val="0"/>
                <w:sz w:val="18"/>
                <w:szCs w:val="18"/>
              </w:rPr>
            </w:pPr>
            <w:r>
              <w:rPr>
                <w:rFonts w:ascii="ＭＳ ゴシック" w:eastAsia="ＭＳ ゴシック" w:hAnsi="ＭＳ ゴシック" w:cs="Meiryo UI" w:hint="eastAsia"/>
                <w:b w:val="0"/>
                <w:color w:val="000000" w:themeColor="text1"/>
                <w:sz w:val="18"/>
                <w:szCs w:val="18"/>
              </w:rPr>
              <w:t>保健指導対象者に個別指導・集団指導の案内を行い、実施する。対象者にあわせた実施内容・面接日を設定する（</w:t>
            </w:r>
            <w:r>
              <w:rPr>
                <w:rFonts w:ascii="ＭＳ ゴシック" w:eastAsia="ＭＳ ゴシック" w:hAnsi="ＭＳ ゴシック" w:cs="Meiryo UI" w:hint="eastAsia"/>
                <w:b w:val="0"/>
                <w:sz w:val="18"/>
                <w:szCs w:val="18"/>
              </w:rPr>
              <w:t>ＩＣＴの活用も検討）。</w:t>
            </w:r>
          </w:p>
          <w:p>
            <w:pP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bCs w:val="0"/>
                <w:color w:val="000000" w:themeColor="text1"/>
                <w:sz w:val="18"/>
                <w:szCs w:val="18"/>
              </w:rPr>
            </w:pPr>
            <w:r>
              <w:rPr>
                <w:rFonts w:ascii="ＭＳ ゴシック" w:eastAsia="ＭＳ ゴシック" w:hAnsi="ＭＳ ゴシック" w:cs="Meiryo UI" w:hint="eastAsia"/>
                <w:b w:val="0"/>
                <w:color w:val="000000" w:themeColor="text1"/>
                <w:sz w:val="18"/>
                <w:szCs w:val="18"/>
              </w:rPr>
              <w:t>・医療機関へ提供している保健指導マニュアルの見直し・提供（R3.5～6月）</w:t>
            </w:r>
          </w:p>
          <w:p>
            <w:pPr>
              <w:cnfStyle w:val="100000000000" w:firstRow="1" w:lastRow="0" w:firstColumn="0" w:lastColumn="0" w:oddVBand="0" w:evenVBand="0" w:oddHBand="0" w:evenHBand="0" w:firstRowFirstColumn="0" w:firstRowLastColumn="0" w:lastRowFirstColumn="0" w:lastRowLastColumn="0"/>
              <w:rPr>
                <w:rFonts w:ascii="ＭＳ ゴシック" w:eastAsia="ＭＳ ゴシック" w:hAnsi="ＭＳ ゴシック" w:cs="Meiryo UI"/>
                <w:color w:val="000000" w:themeColor="text1"/>
                <w:sz w:val="18"/>
                <w:szCs w:val="18"/>
              </w:rPr>
            </w:pPr>
            <w:r>
              <w:rPr>
                <w:rFonts w:ascii="ＭＳ ゴシック" w:eastAsia="ＭＳ ゴシック" w:hAnsi="ＭＳ ゴシック" w:cs="Meiryo UI" w:hint="eastAsia"/>
                <w:b w:val="0"/>
                <w:color w:val="000000" w:themeColor="text1"/>
                <w:sz w:val="18"/>
                <w:szCs w:val="18"/>
              </w:rPr>
              <w:t>・保健指導実施医療機関へのヒアリングを行い、健診受診数の多い医療機関への説明と保健指導受託のお願い(各年5～6月)</w:t>
            </w:r>
          </w:p>
        </w:tc>
      </w:tr>
    </w:tbl>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r>
        <w:rPr>
          <w:rFonts w:ascii="ＭＳ ゴシック" w:eastAsia="ＭＳ ゴシック" w:hAnsi="ＭＳ ゴシック" w:cs="Calibri" w:hint="eastAsia"/>
          <w:bCs/>
          <w:color w:val="000000"/>
          <w:kern w:val="0"/>
          <w:sz w:val="24"/>
          <w:szCs w:val="24"/>
        </w:rPr>
        <w:lastRenderedPageBreak/>
        <w:t>（３）生活習慣病</w:t>
      </w:r>
      <w:r>
        <w:rPr>
          <w:rFonts w:ascii="ＭＳ ゴシック" w:eastAsia="ＭＳ ゴシック" w:hAnsi="ＭＳ ゴシック" w:cs="Calibri"/>
          <w:bCs/>
          <w:color w:val="000000"/>
          <w:kern w:val="0"/>
          <w:sz w:val="24"/>
          <w:szCs w:val="24"/>
        </w:rPr>
        <w:t>重症化予防</w:t>
      </w:r>
      <w:r>
        <w:rPr>
          <w:rFonts w:ascii="ＭＳ ゴシック" w:eastAsia="ＭＳ ゴシック" w:hAnsi="ＭＳ ゴシック" w:cs="Calibri" w:hint="eastAsia"/>
          <w:bCs/>
          <w:color w:val="000000"/>
          <w:kern w:val="0"/>
          <w:sz w:val="24"/>
          <w:szCs w:val="24"/>
        </w:rPr>
        <w:t>対策</w:t>
      </w:r>
      <w:r>
        <w:rPr>
          <w:rFonts w:ascii="ＭＳ ゴシック" w:eastAsia="ＭＳ ゴシック" w:hAnsi="ＭＳ ゴシック" w:cs="Calibri"/>
          <w:bCs/>
          <w:color w:val="000000"/>
          <w:kern w:val="0"/>
          <w:sz w:val="24"/>
          <w:szCs w:val="24"/>
        </w:rPr>
        <w:t>事業</w:t>
      </w:r>
    </w:p>
    <w:p>
      <w:pPr>
        <w:ind w:firstLineChars="100" w:firstLine="240"/>
        <w:rPr>
          <w:rFonts w:ascii="ＭＳ ゴシック" w:eastAsia="ＭＳ ゴシック" w:hAnsi="ＭＳ ゴシック" w:cs="Calibri"/>
          <w:b/>
          <w:bCs/>
          <w:color w:val="000000"/>
          <w:kern w:val="0"/>
          <w:sz w:val="20"/>
          <w:szCs w:val="20"/>
        </w:rPr>
      </w:pPr>
      <w:bookmarkStart w:id="8" w:name="_Hlk60045401"/>
      <w:r>
        <w:rPr>
          <w:rFonts w:ascii="ＭＳ ゴシック" w:eastAsia="ＭＳ ゴシック" w:hAnsi="ＭＳ ゴシック" w:cs="Meiryo UI" w:hint="eastAsia"/>
          <w:color w:val="000000" w:themeColor="text1"/>
          <w:sz w:val="24"/>
          <w:szCs w:val="20"/>
        </w:rPr>
        <w:t>①評価指標及び最終</w:t>
      </w:r>
      <w:r>
        <w:rPr>
          <w:rFonts w:ascii="ＭＳ ゴシック" w:eastAsia="ＭＳ ゴシック" w:hAnsi="ＭＳ ゴシック" w:cs="Meiryo UI"/>
          <w:color w:val="000000" w:themeColor="text1"/>
          <w:sz w:val="24"/>
          <w:szCs w:val="20"/>
        </w:rPr>
        <w:t>目標値</w:t>
      </w:r>
    </w:p>
    <w:tbl>
      <w:tblPr>
        <w:tblStyle w:val="40"/>
        <w:tblW w:w="0" w:type="auto"/>
        <w:tblInd w:w="0" w:type="dxa"/>
        <w:tblLook w:val="04A0" w:firstRow="1" w:lastRow="0" w:firstColumn="1" w:lastColumn="0" w:noHBand="0" w:noVBand="1"/>
      </w:tblPr>
      <w:tblGrid>
        <w:gridCol w:w="4815"/>
        <w:gridCol w:w="4819"/>
      </w:tblGrid>
      <w:tr>
        <w:trPr>
          <w:trHeight w:val="490"/>
        </w:trPr>
        <w:tc>
          <w:tcPr>
            <w:tcW w:w="4815"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評価指標</w:t>
            </w:r>
          </w:p>
        </w:tc>
        <w:tc>
          <w:tcPr>
            <w:tcW w:w="4819"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最終目標値</w:t>
            </w:r>
          </w:p>
        </w:tc>
      </w:tr>
      <w:tr>
        <w:trPr>
          <w:trHeight w:val="490"/>
        </w:trPr>
        <w:tc>
          <w:tcPr>
            <w:tcW w:w="4815" w:type="dxa"/>
            <w:tcBorders>
              <w:top w:val="single" w:sz="4" w:space="0" w:color="000000"/>
              <w:left w:val="single" w:sz="4" w:space="0" w:color="000000"/>
              <w:bottom w:val="single" w:sz="4" w:space="0" w:color="auto"/>
              <w:right w:val="single" w:sz="4" w:space="0" w:color="000000"/>
            </w:tcBorders>
          </w:tcPr>
          <w:p>
            <w:pPr>
              <w:jc w:val="center"/>
              <w:rPr>
                <w:rFonts w:ascii="ＭＳ ゴシック" w:eastAsia="ＭＳ ゴシック" w:hAnsi="ＭＳ ゴシック"/>
                <w:kern w:val="0"/>
                <w:sz w:val="22"/>
              </w:rPr>
            </w:pPr>
            <w:r>
              <w:rPr>
                <w:rFonts w:ascii="ＭＳ ゴシック" w:eastAsia="ＭＳ ゴシック" w:hAnsi="ＭＳ ゴシック" w:hint="eastAsia"/>
                <w:kern w:val="0"/>
                <w:sz w:val="22"/>
              </w:rPr>
              <w:t>事業参加者の人工透析移行者</w:t>
            </w:r>
          </w:p>
        </w:tc>
        <w:tc>
          <w:tcPr>
            <w:tcW w:w="4819"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0人</w:t>
            </w:r>
          </w:p>
        </w:tc>
      </w:tr>
      <w:bookmarkEnd w:id="8"/>
    </w:tbl>
    <w:p>
      <w:pPr>
        <w:rPr>
          <w:rFonts w:ascii="ＭＳ ゴシック" w:eastAsia="ＭＳ ゴシック" w:hAnsi="ＭＳ ゴシック" w:cs="Calibri"/>
          <w:bCs/>
          <w:color w:val="000000"/>
          <w:kern w:val="0"/>
          <w:sz w:val="24"/>
          <w:szCs w:val="24"/>
        </w:rPr>
      </w:pPr>
    </w:p>
    <w:p>
      <w:pPr>
        <w:ind w:firstLineChars="100" w:firstLine="240"/>
        <w:rPr>
          <w:rFonts w:ascii="ＭＳ ゴシック" w:eastAsia="ＭＳ ゴシック" w:hAnsi="ＭＳ ゴシック" w:cs="Calibri"/>
          <w:bCs/>
          <w:color w:val="000000"/>
          <w:kern w:val="0"/>
          <w:sz w:val="24"/>
          <w:szCs w:val="24"/>
        </w:rPr>
      </w:pPr>
      <w:r>
        <w:rPr>
          <w:rFonts w:ascii="ＭＳ ゴシック" w:eastAsia="ＭＳ ゴシック" w:hAnsi="ＭＳ ゴシック" w:cs="Calibri" w:hint="eastAsia"/>
          <w:bCs/>
          <w:color w:val="000000"/>
          <w:kern w:val="0"/>
          <w:sz w:val="24"/>
          <w:szCs w:val="24"/>
        </w:rPr>
        <w:t>②短期目標の評価と見直し（上段：目標値、下段：実績値）</w:t>
      </w:r>
    </w:p>
    <w:tbl>
      <w:tblPr>
        <w:tblStyle w:val="af5"/>
        <w:tblW w:w="9634" w:type="dxa"/>
        <w:tblLook w:val="04A0" w:firstRow="1" w:lastRow="0" w:firstColumn="1" w:lastColumn="0" w:noHBand="0" w:noVBand="1"/>
      </w:tblPr>
      <w:tblGrid>
        <w:gridCol w:w="3397"/>
        <w:gridCol w:w="1418"/>
        <w:gridCol w:w="1276"/>
        <w:gridCol w:w="2268"/>
        <w:gridCol w:w="1275"/>
      </w:tblGrid>
      <w:tr>
        <w:tc>
          <w:tcPr>
            <w:tcW w:w="3397" w:type="dxa"/>
          </w:tcPr>
          <w:p>
            <w:pPr>
              <w:jc w:val="center"/>
              <w:rPr>
                <w:rFonts w:ascii="ＭＳ ゴシック" w:eastAsia="ＭＳ ゴシック" w:hAnsi="ＭＳ ゴシック"/>
                <w:sz w:val="22"/>
              </w:rPr>
            </w:pPr>
            <w:r>
              <w:rPr>
                <w:rFonts w:ascii="ＭＳ ゴシック" w:eastAsia="ＭＳ ゴシック" w:hAnsi="ＭＳ ゴシック" w:hint="eastAsia"/>
                <w:sz w:val="22"/>
              </w:rPr>
              <w:t>指標</w:t>
            </w:r>
          </w:p>
        </w:tc>
        <w:tc>
          <w:tcPr>
            <w:tcW w:w="1418" w:type="dxa"/>
          </w:tcPr>
          <w:p>
            <w:pPr>
              <w:ind w:rightChars="-7" w:right="-15"/>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H30年度</w:t>
            </w:r>
          </w:p>
        </w:tc>
        <w:tc>
          <w:tcPr>
            <w:tcW w:w="1276"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R元年度</w:t>
            </w:r>
          </w:p>
        </w:tc>
        <w:tc>
          <w:tcPr>
            <w:tcW w:w="2268"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最終年度（R5年度）</w:t>
            </w:r>
          </w:p>
        </w:tc>
        <w:tc>
          <w:tcPr>
            <w:tcW w:w="1275"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達成状況</w:t>
            </w:r>
          </w:p>
        </w:tc>
      </w:tr>
      <w:tr>
        <w:tc>
          <w:tcPr>
            <w:tcW w:w="3397" w:type="dxa"/>
            <w:vMerge w:val="restart"/>
          </w:tcPr>
          <w:p>
            <w:pPr>
              <w:jc w:val="left"/>
              <w:rPr>
                <w:rFonts w:ascii="ＭＳ ゴシック" w:eastAsia="ＭＳ ゴシック" w:hAnsi="ＭＳ ゴシック"/>
                <w:sz w:val="22"/>
              </w:rPr>
            </w:pPr>
            <w:r>
              <w:rPr>
                <w:rFonts w:ascii="ＭＳ ゴシック" w:eastAsia="ＭＳ ゴシック" w:hAnsi="ＭＳ ゴシック" w:hint="eastAsia"/>
                <w:sz w:val="22"/>
              </w:rPr>
              <w:t>医療機関への受診率</w:t>
            </w:r>
          </w:p>
        </w:tc>
        <w:tc>
          <w:tcPr>
            <w:tcW w:w="1418" w:type="dxa"/>
          </w:tcPr>
          <w:p>
            <w:pPr>
              <w:ind w:rightChars="-7" w:right="-15"/>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25.0％</w:t>
            </w:r>
          </w:p>
        </w:tc>
        <w:tc>
          <w:tcPr>
            <w:tcW w:w="1276"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26.1％</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30.0％</w:t>
            </w:r>
          </w:p>
        </w:tc>
        <w:tc>
          <w:tcPr>
            <w:tcW w:w="1275" w:type="dxa"/>
            <w:vMerge w:val="restart"/>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達成</w:t>
            </w:r>
          </w:p>
        </w:tc>
      </w:tr>
      <w:tr>
        <w:trPr>
          <w:trHeight w:val="358"/>
        </w:trPr>
        <w:tc>
          <w:tcPr>
            <w:tcW w:w="3397" w:type="dxa"/>
            <w:vMerge/>
          </w:tcPr>
          <w:p>
            <w:pPr>
              <w:rPr>
                <w:rFonts w:ascii="ＭＳ ゴシック" w:eastAsia="ＭＳ ゴシック" w:hAnsi="ＭＳ ゴシック" w:cs="Meiryo UI"/>
                <w:sz w:val="22"/>
              </w:rPr>
            </w:pPr>
          </w:p>
        </w:tc>
        <w:tc>
          <w:tcPr>
            <w:tcW w:w="1418"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26.1％</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36.5％</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w:t>
            </w:r>
          </w:p>
        </w:tc>
        <w:tc>
          <w:tcPr>
            <w:tcW w:w="1275" w:type="dxa"/>
            <w:vMerge/>
          </w:tcPr>
          <w:p>
            <w:pPr>
              <w:jc w:val="center"/>
              <w:rPr>
                <w:rFonts w:ascii="ＭＳ ゴシック" w:eastAsia="ＭＳ ゴシック" w:hAnsi="ＭＳ ゴシック" w:cs="Meiryo UI"/>
                <w:color w:val="000000" w:themeColor="text1"/>
                <w:sz w:val="22"/>
              </w:rPr>
            </w:pPr>
          </w:p>
        </w:tc>
      </w:tr>
      <w:tr>
        <w:tc>
          <w:tcPr>
            <w:tcW w:w="3397" w:type="dxa"/>
            <w:vMerge w:val="restart"/>
          </w:tcPr>
          <w:p>
            <w:pPr>
              <w:rPr>
                <w:rFonts w:ascii="ＭＳ ゴシック" w:eastAsia="ＭＳ ゴシック" w:hAnsi="ＭＳ ゴシック" w:cs="Meiryo UI"/>
                <w:sz w:val="22"/>
              </w:rPr>
            </w:pPr>
            <w:r>
              <w:rPr>
                <w:rFonts w:ascii="ＭＳ ゴシック" w:eastAsia="ＭＳ ゴシック" w:hAnsi="ＭＳ ゴシック" w:cs="Meiryo UI" w:hint="eastAsia"/>
                <w:sz w:val="22"/>
              </w:rPr>
              <w:t>保健指導</w:t>
            </w:r>
            <w:r>
              <w:rPr>
                <w:rFonts w:ascii="ＭＳ ゴシック" w:eastAsia="ＭＳ ゴシック" w:hAnsi="ＭＳ ゴシック" w:cs="Meiryo UI"/>
                <w:sz w:val="22"/>
              </w:rPr>
              <w:t>参加</w:t>
            </w:r>
            <w:r>
              <w:rPr>
                <w:rFonts w:ascii="ＭＳ ゴシック" w:eastAsia="ＭＳ ゴシック" w:hAnsi="ＭＳ ゴシック" w:cs="Meiryo UI" w:hint="eastAsia"/>
                <w:sz w:val="22"/>
              </w:rPr>
              <w:t>率（修了者）</w:t>
            </w:r>
          </w:p>
        </w:tc>
        <w:tc>
          <w:tcPr>
            <w:tcW w:w="1418"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10.0％</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sz w:val="22"/>
              </w:rPr>
              <w:t>18</w:t>
            </w:r>
            <w:r>
              <w:rPr>
                <w:rFonts w:ascii="ＭＳ ゴシック" w:eastAsia="ＭＳ ゴシック" w:hAnsi="ＭＳ ゴシック" w:cs="Meiryo UI" w:hint="eastAsia"/>
                <w:sz w:val="22"/>
              </w:rPr>
              <w:t>.0％</w:t>
            </w:r>
            <w:r>
              <w:rPr>
                <w:rFonts w:ascii="ＭＳ ゴシック" w:eastAsia="ＭＳ ゴシック" w:hAnsi="ＭＳ ゴシック" w:cs="Meiryo UI"/>
                <w:sz w:val="22"/>
              </w:rPr>
              <w:t xml:space="preserve"> </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25.0％</w:t>
            </w:r>
          </w:p>
        </w:tc>
        <w:tc>
          <w:tcPr>
            <w:tcW w:w="1275" w:type="dxa"/>
            <w:vMerge w:val="restart"/>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未達成</w:t>
            </w:r>
          </w:p>
        </w:tc>
      </w:tr>
      <w:tr>
        <w:tc>
          <w:tcPr>
            <w:tcW w:w="3397" w:type="dxa"/>
            <w:vMerge/>
          </w:tcPr>
          <w:p>
            <w:pPr>
              <w:rPr>
                <w:rFonts w:ascii="ＭＳ ゴシック" w:eastAsia="ＭＳ ゴシック" w:hAnsi="ＭＳ ゴシック" w:cs="Meiryo UI"/>
                <w:sz w:val="22"/>
              </w:rPr>
            </w:pPr>
          </w:p>
        </w:tc>
        <w:tc>
          <w:tcPr>
            <w:tcW w:w="1418"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16.5％</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9.1％</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w:t>
            </w:r>
          </w:p>
        </w:tc>
        <w:tc>
          <w:tcPr>
            <w:tcW w:w="1275" w:type="dxa"/>
            <w:vMerge/>
          </w:tcPr>
          <w:p>
            <w:pPr>
              <w:jc w:val="center"/>
              <w:rPr>
                <w:rFonts w:ascii="ＭＳ ゴシック" w:eastAsia="ＭＳ ゴシック" w:hAnsi="ＭＳ ゴシック" w:cs="Meiryo UI"/>
                <w:color w:val="000000" w:themeColor="text1"/>
                <w:sz w:val="22"/>
              </w:rPr>
            </w:pPr>
          </w:p>
        </w:tc>
      </w:tr>
      <w:tr>
        <w:tc>
          <w:tcPr>
            <w:tcW w:w="3397" w:type="dxa"/>
            <w:vMerge w:val="restart"/>
          </w:tcPr>
          <w:p>
            <w:pPr>
              <w:rPr>
                <w:rFonts w:ascii="ＭＳ ゴシック" w:eastAsia="ＭＳ ゴシック" w:hAnsi="ＭＳ ゴシック" w:cs="Meiryo UI"/>
                <w:sz w:val="22"/>
              </w:rPr>
            </w:pPr>
            <w:r>
              <w:rPr>
                <w:rFonts w:ascii="ＭＳ ゴシック" w:eastAsia="ＭＳ ゴシック" w:hAnsi="ＭＳ ゴシック" w:cs="Meiryo UI" w:hint="eastAsia"/>
                <w:sz w:val="22"/>
              </w:rPr>
              <w:t>保健指導後</w:t>
            </w:r>
            <w:r>
              <w:rPr>
                <w:rFonts w:ascii="ＭＳ ゴシック" w:eastAsia="ＭＳ ゴシック" w:hAnsi="ＭＳ ゴシック" w:cs="Meiryo UI"/>
                <w:sz w:val="22"/>
              </w:rPr>
              <w:t>人工透析</w:t>
            </w:r>
            <w:r>
              <w:rPr>
                <w:rFonts w:ascii="ＭＳ ゴシック" w:eastAsia="ＭＳ ゴシック" w:hAnsi="ＭＳ ゴシック" w:cs="Meiryo UI" w:hint="eastAsia"/>
                <w:sz w:val="22"/>
              </w:rPr>
              <w:t>移行者</w:t>
            </w:r>
            <w:r>
              <w:rPr>
                <w:rFonts w:ascii="ＭＳ ゴシック" w:eastAsia="ＭＳ ゴシック" w:hAnsi="ＭＳ ゴシック" w:cs="Meiryo UI"/>
                <w:sz w:val="22"/>
              </w:rPr>
              <w:t>数</w:t>
            </w:r>
          </w:p>
        </w:tc>
        <w:tc>
          <w:tcPr>
            <w:tcW w:w="1418"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0人</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0人</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sz w:val="22"/>
              </w:rPr>
              <w:t>0人</w:t>
            </w:r>
            <w:r>
              <w:rPr>
                <w:rFonts w:ascii="ＭＳ ゴシック" w:eastAsia="ＭＳ ゴシック" w:hAnsi="ＭＳ ゴシック" w:cs="Meiryo UI"/>
                <w:color w:val="000000" w:themeColor="text1"/>
                <w:sz w:val="22"/>
              </w:rPr>
              <w:t xml:space="preserve"> </w:t>
            </w:r>
          </w:p>
        </w:tc>
        <w:tc>
          <w:tcPr>
            <w:tcW w:w="1275" w:type="dxa"/>
            <w:vMerge w:val="restart"/>
          </w:tcPr>
          <w:p>
            <w:pPr>
              <w:jc w:val="center"/>
              <w:rPr>
                <w:rFonts w:ascii="ＭＳ ゴシック" w:eastAsia="ＭＳ ゴシック" w:hAnsi="ＭＳ ゴシック" w:cs="Meiryo UI"/>
                <w:sz w:val="22"/>
              </w:rPr>
            </w:pPr>
            <w:r>
              <w:rPr>
                <w:rFonts w:ascii="ＭＳ ゴシック" w:eastAsia="ＭＳ ゴシック" w:hAnsi="ＭＳ ゴシック" w:cs="Meiryo UI" w:hint="eastAsia"/>
                <w:sz w:val="22"/>
              </w:rPr>
              <w:t>達成</w:t>
            </w:r>
          </w:p>
        </w:tc>
      </w:tr>
      <w:tr>
        <w:tc>
          <w:tcPr>
            <w:tcW w:w="3397" w:type="dxa"/>
            <w:vMerge/>
          </w:tcPr>
          <w:p>
            <w:pPr>
              <w:rPr>
                <w:rFonts w:ascii="ＭＳ ゴシック" w:eastAsia="ＭＳ ゴシック" w:hAnsi="ＭＳ ゴシック" w:cs="Meiryo UI"/>
                <w:color w:val="000000" w:themeColor="text1"/>
                <w:sz w:val="22"/>
              </w:rPr>
            </w:pPr>
          </w:p>
        </w:tc>
        <w:tc>
          <w:tcPr>
            <w:tcW w:w="1418"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0人</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0人</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w:t>
            </w:r>
          </w:p>
        </w:tc>
        <w:tc>
          <w:tcPr>
            <w:tcW w:w="1275" w:type="dxa"/>
            <w:vMerge/>
          </w:tcPr>
          <w:p>
            <w:pPr>
              <w:jc w:val="right"/>
              <w:rPr>
                <w:rFonts w:ascii="ＭＳ ゴシック" w:eastAsia="ＭＳ ゴシック" w:hAnsi="ＭＳ ゴシック" w:cs="Meiryo UI"/>
                <w:color w:val="000000" w:themeColor="text1"/>
                <w:sz w:val="22"/>
              </w:rPr>
            </w:pPr>
          </w:p>
        </w:tc>
      </w:tr>
    </w:tbl>
    <w:p>
      <w:pPr>
        <w:rPr>
          <w:rFonts w:ascii="ＭＳ ゴシック" w:eastAsia="ＭＳ ゴシック" w:hAnsi="ＭＳ ゴシック" w:cs="Calibri"/>
          <w:bCs/>
          <w:color w:val="000000"/>
          <w:kern w:val="0"/>
          <w:sz w:val="24"/>
          <w:szCs w:val="24"/>
        </w:rPr>
      </w:pPr>
    </w:p>
    <w:p>
      <w:pPr>
        <w:ind w:firstLineChars="100" w:firstLine="240"/>
        <w:rPr>
          <w:rFonts w:ascii="ＭＳ ゴシック" w:eastAsia="ＭＳ ゴシック" w:hAnsi="ＭＳ ゴシック" w:cs="Calibri"/>
          <w:bCs/>
          <w:color w:val="000000"/>
          <w:kern w:val="0"/>
          <w:sz w:val="24"/>
          <w:szCs w:val="24"/>
        </w:rPr>
      </w:pPr>
      <w:r>
        <w:rPr>
          <w:rFonts w:ascii="ＭＳ ゴシック" w:eastAsia="ＭＳ ゴシック" w:hAnsi="ＭＳ ゴシック" w:hint="eastAsia"/>
          <w:sz w:val="24"/>
          <w:szCs w:val="24"/>
        </w:rPr>
        <w:t>③達成</w:t>
      </w:r>
      <w:r>
        <w:rPr>
          <w:rFonts w:ascii="ＭＳ ゴシック" w:eastAsia="ＭＳ ゴシック" w:hAnsi="ＭＳ ゴシック"/>
          <w:sz w:val="24"/>
          <w:szCs w:val="24"/>
        </w:rPr>
        <w:t>、未達成要因及び事業の方向性</w:t>
      </w:r>
    </w:p>
    <w:tbl>
      <w:tblPr>
        <w:tblStyle w:val="110"/>
        <w:tblW w:w="9634" w:type="dxa"/>
        <w:tblLook w:val="04A0" w:firstRow="1" w:lastRow="0" w:firstColumn="1" w:lastColumn="0" w:noHBand="0" w:noVBand="1"/>
      </w:tblPr>
      <w:tblGrid>
        <w:gridCol w:w="3329"/>
        <w:gridCol w:w="3470"/>
        <w:gridCol w:w="2835"/>
      </w:tblGrid>
      <w:tr>
        <w:trPr>
          <w:trHeight w:val="363"/>
        </w:trPr>
        <w:tc>
          <w:tcPr>
            <w:tcW w:w="3329" w:type="dxa"/>
            <w:shd w:val="clear" w:color="auto" w:fill="D9D9D9" w:themeFill="background1" w:themeFillShade="D9"/>
            <w:vAlign w:val="center"/>
          </w:tcPr>
          <w:p>
            <w:pPr>
              <w:jc w:val="center"/>
              <w:rPr>
                <w:rFonts w:ascii="ＭＳ ゴシック" w:eastAsia="ＭＳ ゴシック" w:hAnsi="ＭＳ ゴシック" w:cs="Meiryo UI"/>
                <w:color w:val="000000" w:themeColor="text1"/>
                <w:kern w:val="0"/>
                <w:sz w:val="20"/>
                <w:szCs w:val="20"/>
              </w:rPr>
            </w:pPr>
            <w:r>
              <w:rPr>
                <w:rFonts w:ascii="ＭＳ ゴシック" w:eastAsia="ＭＳ ゴシック" w:hAnsi="ＭＳ ゴシック" w:cs="Meiryo UI" w:hint="eastAsia"/>
                <w:color w:val="000000" w:themeColor="text1"/>
                <w:kern w:val="0"/>
                <w:sz w:val="20"/>
                <w:szCs w:val="20"/>
              </w:rPr>
              <w:t>達成要因</w:t>
            </w:r>
          </w:p>
        </w:tc>
        <w:tc>
          <w:tcPr>
            <w:tcW w:w="3470" w:type="dxa"/>
            <w:shd w:val="clear" w:color="auto" w:fill="D9D9D9" w:themeFill="background1" w:themeFillShade="D9"/>
            <w:vAlign w:val="center"/>
          </w:tcPr>
          <w:p>
            <w:pPr>
              <w:jc w:val="center"/>
              <w:rPr>
                <w:rFonts w:ascii="ＭＳ ゴシック" w:eastAsia="ＭＳ ゴシック" w:hAnsi="ＭＳ ゴシック" w:cs="Meiryo UI"/>
                <w:color w:val="000000" w:themeColor="text1"/>
                <w:kern w:val="0"/>
                <w:sz w:val="20"/>
                <w:szCs w:val="20"/>
              </w:rPr>
            </w:pPr>
            <w:r>
              <w:rPr>
                <w:rFonts w:ascii="ＭＳ ゴシック" w:eastAsia="ＭＳ ゴシック" w:hAnsi="ＭＳ ゴシック" w:cs="Meiryo UI" w:hint="eastAsia"/>
                <w:color w:val="000000" w:themeColor="text1"/>
                <w:kern w:val="0"/>
                <w:sz w:val="20"/>
                <w:szCs w:val="20"/>
              </w:rPr>
              <w:t>未達成要因</w:t>
            </w:r>
          </w:p>
        </w:tc>
        <w:tc>
          <w:tcPr>
            <w:tcW w:w="2835" w:type="dxa"/>
            <w:shd w:val="clear" w:color="auto" w:fill="D9D9D9" w:themeFill="background1" w:themeFillShade="D9"/>
            <w:vAlign w:val="center"/>
          </w:tcPr>
          <w:p>
            <w:pPr>
              <w:jc w:val="center"/>
              <w:rPr>
                <w:rFonts w:ascii="ＭＳ ゴシック" w:eastAsia="ＭＳ ゴシック" w:hAnsi="ＭＳ ゴシック" w:cs="Meiryo UI"/>
                <w:color w:val="000000" w:themeColor="text1"/>
                <w:kern w:val="0"/>
                <w:sz w:val="20"/>
                <w:szCs w:val="20"/>
              </w:rPr>
            </w:pPr>
            <w:r>
              <w:rPr>
                <w:rFonts w:ascii="ＭＳ ゴシック" w:eastAsia="ＭＳ ゴシック" w:hAnsi="ＭＳ ゴシック" w:cs="Meiryo UI" w:hint="eastAsia"/>
                <w:color w:val="000000" w:themeColor="text1"/>
                <w:kern w:val="0"/>
                <w:sz w:val="20"/>
                <w:szCs w:val="20"/>
              </w:rPr>
              <w:t>事業の方向性</w:t>
            </w:r>
          </w:p>
        </w:tc>
      </w:tr>
      <w:tr>
        <w:trPr>
          <w:trHeight w:val="3476"/>
        </w:trPr>
        <w:tc>
          <w:tcPr>
            <w:tcW w:w="3329" w:type="dxa"/>
          </w:tcPr>
          <w:p>
            <w:pPr>
              <w:spacing w:line="320" w:lineRule="exact"/>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・予算の確保、医師会への説明及びかかりつけ</w:t>
            </w:r>
            <w:r>
              <w:rPr>
                <w:rFonts w:ascii="ＭＳ ゴシック" w:eastAsia="ＭＳ ゴシック" w:hAnsi="ＭＳ ゴシック"/>
                <w:kern w:val="0"/>
                <w:sz w:val="20"/>
                <w:szCs w:val="20"/>
              </w:rPr>
              <w:t>医への協力依頼</w:t>
            </w:r>
            <w:r>
              <w:rPr>
                <w:rFonts w:ascii="ＭＳ ゴシック" w:eastAsia="ＭＳ ゴシック" w:hAnsi="ＭＳ ゴシック" w:hint="eastAsia"/>
                <w:kern w:val="0"/>
                <w:sz w:val="20"/>
                <w:szCs w:val="20"/>
              </w:rPr>
              <w:t>を行い</w:t>
            </w:r>
            <w:r>
              <w:rPr>
                <w:rFonts w:ascii="ＭＳ ゴシック" w:eastAsia="ＭＳ ゴシック" w:hAnsi="ＭＳ ゴシック"/>
                <w:kern w:val="0"/>
                <w:sz w:val="20"/>
                <w:szCs w:val="20"/>
              </w:rPr>
              <w:t>、</w:t>
            </w:r>
            <w:r>
              <w:rPr>
                <w:rFonts w:ascii="ＭＳ ゴシック" w:eastAsia="ＭＳ ゴシック" w:hAnsi="ＭＳ ゴシック" w:hint="eastAsia"/>
                <w:kern w:val="0"/>
                <w:sz w:val="20"/>
                <w:szCs w:val="20"/>
              </w:rPr>
              <w:t>関係者と連携して事業を</w:t>
            </w:r>
            <w:r>
              <w:rPr>
                <w:rFonts w:ascii="ＭＳ ゴシック" w:eastAsia="ＭＳ ゴシック" w:hAnsi="ＭＳ ゴシック"/>
                <w:kern w:val="0"/>
                <w:sz w:val="20"/>
                <w:szCs w:val="20"/>
              </w:rPr>
              <w:t>実施することができた。</w:t>
            </w:r>
          </w:p>
          <w:p>
            <w:pPr>
              <w:spacing w:line="320" w:lineRule="exact"/>
              <w:rPr>
                <w:rFonts w:ascii="ＭＳ ゴシック" w:eastAsia="ＭＳ ゴシック" w:hAnsi="ＭＳ ゴシック" w:cs="Meiryo UI"/>
                <w:color w:val="000000" w:themeColor="text1"/>
                <w:kern w:val="0"/>
                <w:sz w:val="20"/>
                <w:szCs w:val="20"/>
              </w:rPr>
            </w:pPr>
            <w:r>
              <w:rPr>
                <w:rFonts w:ascii="ＭＳ ゴシック" w:eastAsia="ＭＳ ゴシック" w:hAnsi="ＭＳ ゴシック" w:hint="eastAsia"/>
                <w:kern w:val="0"/>
                <w:sz w:val="20"/>
                <w:szCs w:val="20"/>
              </w:rPr>
              <w:t>・対象者の抽出</w:t>
            </w:r>
            <w:r>
              <w:rPr>
                <w:rFonts w:ascii="ＭＳ ゴシック" w:eastAsia="ＭＳ ゴシック" w:hAnsi="ＭＳ ゴシック"/>
                <w:kern w:val="0"/>
                <w:sz w:val="20"/>
                <w:szCs w:val="20"/>
              </w:rPr>
              <w:t>、</w:t>
            </w:r>
            <w:r>
              <w:rPr>
                <w:rFonts w:ascii="ＭＳ ゴシック" w:eastAsia="ＭＳ ゴシック" w:hAnsi="ＭＳ ゴシック" w:hint="eastAsia"/>
                <w:kern w:val="0"/>
                <w:sz w:val="20"/>
                <w:szCs w:val="20"/>
              </w:rPr>
              <w:t>受診勧奨通知の発送、電話・通知による勧奨を予定どおり実施する</w:t>
            </w:r>
            <w:r>
              <w:rPr>
                <w:rFonts w:ascii="ＭＳ ゴシック" w:eastAsia="ＭＳ ゴシック" w:hAnsi="ＭＳ ゴシック"/>
                <w:kern w:val="0"/>
                <w:sz w:val="20"/>
                <w:szCs w:val="20"/>
              </w:rPr>
              <w:t>ことができ</w:t>
            </w:r>
            <w:r>
              <w:rPr>
                <w:rFonts w:ascii="ＭＳ ゴシック" w:eastAsia="ＭＳ ゴシック" w:hAnsi="ＭＳ ゴシック" w:hint="eastAsia"/>
                <w:kern w:val="0"/>
                <w:sz w:val="20"/>
                <w:szCs w:val="20"/>
              </w:rPr>
              <w:t>た</w:t>
            </w:r>
            <w:r>
              <w:rPr>
                <w:rFonts w:ascii="ＭＳ ゴシック" w:eastAsia="ＭＳ ゴシック" w:hAnsi="ＭＳ ゴシック"/>
                <w:kern w:val="0"/>
                <w:sz w:val="20"/>
                <w:szCs w:val="20"/>
              </w:rPr>
              <w:t>。</w:t>
            </w:r>
          </w:p>
        </w:tc>
        <w:tc>
          <w:tcPr>
            <w:tcW w:w="3470" w:type="dxa"/>
          </w:tcPr>
          <w:p>
            <w:pPr>
              <w:ind w:left="1"/>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・事業参加を促す事業の周知が出来ていない。</w:t>
            </w:r>
          </w:p>
        </w:tc>
        <w:tc>
          <w:tcPr>
            <w:tcW w:w="2835" w:type="dxa"/>
          </w:tcPr>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・保健指導</w:t>
            </w:r>
            <w:r>
              <w:rPr>
                <w:rFonts w:ascii="ＭＳ ゴシック" w:eastAsia="ＭＳ ゴシック" w:hAnsi="ＭＳ ゴシック" w:cs="Meiryo UI"/>
                <w:kern w:val="0"/>
                <w:sz w:val="20"/>
                <w:szCs w:val="20"/>
              </w:rPr>
              <w:t>参加率</w:t>
            </w:r>
            <w:r>
              <w:rPr>
                <w:rFonts w:ascii="ＭＳ ゴシック" w:eastAsia="ＭＳ ゴシック" w:hAnsi="ＭＳ ゴシック" w:cs="Meiryo UI" w:hint="eastAsia"/>
                <w:kern w:val="0"/>
                <w:sz w:val="20"/>
                <w:szCs w:val="20"/>
              </w:rPr>
              <w:t>が低下していること</w:t>
            </w:r>
            <w:r>
              <w:rPr>
                <w:rFonts w:ascii="ＭＳ ゴシック" w:eastAsia="ＭＳ ゴシック" w:hAnsi="ＭＳ ゴシック" w:cs="Meiryo UI"/>
                <w:kern w:val="0"/>
                <w:sz w:val="20"/>
                <w:szCs w:val="20"/>
              </w:rPr>
              <w:t>から、</w:t>
            </w:r>
            <w:r>
              <w:rPr>
                <w:rFonts w:ascii="ＭＳ ゴシック" w:eastAsia="ＭＳ ゴシック" w:hAnsi="ＭＳ ゴシック" w:cs="Meiryo UI" w:hint="eastAsia"/>
                <w:kern w:val="0"/>
                <w:sz w:val="20"/>
                <w:szCs w:val="20"/>
              </w:rPr>
              <w:t>医療機関への事業周知を行い、主治医からの事業参加勧奨を依頼する。</w:t>
            </w:r>
          </w:p>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・他市と保健指導の医療機関相互乗り入れを実施し、保健指導の対象者を拡大し、参加者の増加を図る。</w:t>
            </w:r>
          </w:p>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・事業参加者の継続的な支援を実施する。</w:t>
            </w:r>
          </w:p>
        </w:tc>
      </w:tr>
    </w:tbl>
    <w:p>
      <w:pPr>
        <w:ind w:firstLineChars="100" w:firstLine="240"/>
        <w:rPr>
          <w:rFonts w:ascii="ＭＳ ゴシック" w:eastAsia="ＭＳ ゴシック" w:hAnsi="ＭＳ ゴシック" w:cs="Meiryo UI"/>
          <w:color w:val="000000" w:themeColor="text1"/>
          <w:sz w:val="24"/>
          <w:szCs w:val="24"/>
        </w:rPr>
      </w:pP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cs="Meiryo UI" w:hint="eastAsia"/>
          <w:color w:val="000000" w:themeColor="text1"/>
          <w:sz w:val="24"/>
          <w:szCs w:val="24"/>
        </w:rPr>
        <w:t>④見直しの</w:t>
      </w:r>
      <w:r>
        <w:rPr>
          <w:rFonts w:ascii="ＭＳ ゴシック" w:eastAsia="ＭＳ ゴシック" w:hAnsi="ＭＳ ゴシック" w:cs="Meiryo UI"/>
          <w:color w:val="000000" w:themeColor="text1"/>
          <w:sz w:val="24"/>
          <w:szCs w:val="24"/>
        </w:rPr>
        <w:t>結果、実施する</w:t>
      </w:r>
      <w:r>
        <w:rPr>
          <w:rFonts w:ascii="ＭＳ ゴシック" w:eastAsia="ＭＳ ゴシック" w:hAnsi="ＭＳ ゴシック" w:cs="Meiryo UI" w:hint="eastAsia"/>
          <w:color w:val="000000" w:themeColor="text1"/>
          <w:sz w:val="24"/>
          <w:szCs w:val="24"/>
        </w:rPr>
        <w:t>内容</w:t>
      </w:r>
    </w:p>
    <w:tbl>
      <w:tblPr>
        <w:tblStyle w:val="210"/>
        <w:tblW w:w="0" w:type="auto"/>
        <w:tblLook w:val="04A0" w:firstRow="1" w:lastRow="0" w:firstColumn="1" w:lastColumn="0" w:noHBand="0" w:noVBand="1"/>
      </w:tblPr>
      <w:tblGrid>
        <w:gridCol w:w="1905"/>
        <w:gridCol w:w="7723"/>
      </w:tblGrid>
      <w:tr>
        <w:tc>
          <w:tcPr>
            <w:tcW w:w="9628"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kern w:val="0"/>
                <w:sz w:val="20"/>
                <w:szCs w:val="20"/>
              </w:rPr>
            </w:pPr>
            <w:r>
              <w:rPr>
                <w:rFonts w:ascii="ＭＳ ゴシック" w:eastAsia="ＭＳ ゴシック" w:hAnsi="ＭＳ ゴシック" w:cs="Meiryo UI" w:hint="eastAsia"/>
                <w:color w:val="000000" w:themeColor="text1"/>
                <w:kern w:val="0"/>
                <w:sz w:val="20"/>
                <w:szCs w:val="20"/>
              </w:rPr>
              <w:t>内容</w:t>
            </w:r>
          </w:p>
        </w:tc>
      </w:tr>
      <w:tr>
        <w:tc>
          <w:tcPr>
            <w:tcW w:w="1905" w:type="dxa"/>
          </w:tcPr>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ストラクチャー</w:t>
            </w:r>
          </w:p>
        </w:tc>
        <w:tc>
          <w:tcPr>
            <w:tcW w:w="7723" w:type="dxa"/>
          </w:tcPr>
          <w:p>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・予算の確保〈継続〉</w:t>
            </w:r>
          </w:p>
          <w:p>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・埼玉県、埼玉県国民健康保険団体連合会との連携〈継続〉</w:t>
            </w:r>
          </w:p>
          <w:p>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・医師会との連携〈継続〉</w:t>
            </w:r>
          </w:p>
          <w:p>
            <w:pPr>
              <w:spacing w:line="320" w:lineRule="exact"/>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・他市及び他市医療機関との連携〈新規〉</w:t>
            </w:r>
          </w:p>
        </w:tc>
      </w:tr>
      <w:tr>
        <w:tc>
          <w:tcPr>
            <w:tcW w:w="1905" w:type="dxa"/>
          </w:tcPr>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プロセス</w:t>
            </w:r>
          </w:p>
        </w:tc>
        <w:tc>
          <w:tcPr>
            <w:tcW w:w="7723" w:type="dxa"/>
          </w:tcPr>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・スケジュールどおりの事業の実施〈継続〉</w:t>
            </w:r>
          </w:p>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・受託業者との合同の事業の評価〈継続〉</w:t>
            </w:r>
          </w:p>
          <w:p>
            <w:pP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・医療機関への事業周知〈新規〉</w:t>
            </w:r>
          </w:p>
          <w:p>
            <w:pPr>
              <w:rPr>
                <w:rFonts w:ascii="ＭＳ ゴシック" w:eastAsia="ＭＳ ゴシック" w:hAnsi="ＭＳ ゴシック" w:cs="Calibri"/>
                <w:bCs/>
                <w:kern w:val="0"/>
                <w:sz w:val="20"/>
                <w:szCs w:val="20"/>
              </w:rPr>
            </w:pPr>
            <w:r>
              <w:rPr>
                <w:rFonts w:ascii="ＭＳ ゴシック" w:eastAsia="ＭＳ ゴシック" w:hAnsi="ＭＳ ゴシック" w:cs="Meiryo UI" w:hint="eastAsia"/>
                <w:kern w:val="0"/>
                <w:sz w:val="20"/>
                <w:szCs w:val="20"/>
              </w:rPr>
              <w:t>・事業参加者の継続的な支援方法の検討〈新規〉</w:t>
            </w:r>
          </w:p>
        </w:tc>
      </w:tr>
    </w:tbl>
    <w:p>
      <w:pPr>
        <w:ind w:firstLineChars="100" w:firstLine="240"/>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Meiryo UI"/>
          <w:color w:val="000000" w:themeColor="text1"/>
          <w:sz w:val="24"/>
          <w:szCs w:val="20"/>
        </w:rPr>
      </w:pPr>
    </w:p>
    <w:p>
      <w:pPr>
        <w:ind w:firstLineChars="100" w:firstLine="240"/>
        <w:rPr>
          <w:rFonts w:ascii="ＭＳ ゴシック" w:eastAsia="ＭＳ ゴシック" w:hAnsi="ＭＳ ゴシック" w:cs="Calibri"/>
          <w:b/>
          <w:bCs/>
          <w:kern w:val="0"/>
          <w:sz w:val="20"/>
          <w:szCs w:val="20"/>
        </w:rPr>
      </w:pPr>
      <w:r>
        <w:rPr>
          <w:rFonts w:ascii="ＭＳ ゴシック" w:eastAsia="ＭＳ ゴシック" w:hAnsi="ＭＳ ゴシック" w:cs="Meiryo UI" w:hint="eastAsia"/>
          <w:color w:val="000000" w:themeColor="text1"/>
          <w:sz w:val="24"/>
          <w:szCs w:val="20"/>
        </w:rPr>
        <w:lastRenderedPageBreak/>
        <w:t>⑤具体的な事業実施</w:t>
      </w:r>
      <w:r>
        <w:rPr>
          <w:rFonts w:ascii="ＭＳ ゴシック" w:eastAsia="ＭＳ ゴシック" w:hAnsi="ＭＳ ゴシック" w:cs="Meiryo UI"/>
          <w:color w:val="000000" w:themeColor="text1"/>
          <w:sz w:val="24"/>
          <w:szCs w:val="20"/>
        </w:rPr>
        <w:t>内容</w:t>
      </w:r>
    </w:p>
    <w:tbl>
      <w:tblPr>
        <w:tblStyle w:val="32"/>
        <w:tblW w:w="9634" w:type="dxa"/>
        <w:tblLook w:val="04A0" w:firstRow="1" w:lastRow="0" w:firstColumn="1" w:lastColumn="0" w:noHBand="0" w:noVBand="1"/>
      </w:tblPr>
      <w:tblGrid>
        <w:gridCol w:w="1838"/>
        <w:gridCol w:w="7796"/>
      </w:tblGrid>
      <w:tr>
        <w:tc>
          <w:tcPr>
            <w:tcW w:w="9634" w:type="dxa"/>
            <w:gridSpan w:val="2"/>
            <w:shd w:val="clear" w:color="auto" w:fill="D9D9D9" w:themeFill="background1" w:themeFillShade="D9"/>
            <w:vAlign w:val="center"/>
          </w:tcPr>
          <w:p>
            <w:pPr>
              <w:jc w:val="center"/>
              <w:rPr>
                <w:rFonts w:ascii="ＭＳ ゴシック" w:eastAsia="ＭＳ ゴシック" w:hAnsi="ＭＳ ゴシック" w:cs="Meiryo UI"/>
                <w:kern w:val="0"/>
                <w:sz w:val="20"/>
                <w:szCs w:val="20"/>
              </w:rPr>
            </w:pPr>
            <w:r>
              <w:rPr>
                <w:rFonts w:ascii="ＭＳ ゴシック" w:eastAsia="ＭＳ ゴシック" w:hAnsi="ＭＳ ゴシック" w:cs="Meiryo UI" w:hint="eastAsia"/>
                <w:kern w:val="0"/>
                <w:sz w:val="20"/>
                <w:szCs w:val="20"/>
              </w:rPr>
              <w:t>事業実施内容</w:t>
            </w:r>
          </w:p>
        </w:tc>
      </w:tr>
      <w:tr>
        <w:trPr>
          <w:trHeight w:val="2004"/>
        </w:trPr>
        <w:tc>
          <w:tcPr>
            <w:tcW w:w="1838" w:type="dxa"/>
          </w:tcPr>
          <w:p>
            <w:pPr>
              <w:jc w:val="left"/>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糖尿病治療受診　勧奨</w:t>
            </w:r>
          </w:p>
          <w:p>
            <w:pPr>
              <w:rPr>
                <w:rFonts w:ascii="ＭＳ ゴシック" w:eastAsia="ＭＳ ゴシック" w:hAnsi="ＭＳ ゴシック"/>
                <w:kern w:val="0"/>
                <w:sz w:val="20"/>
                <w:szCs w:val="20"/>
              </w:rPr>
            </w:pPr>
          </w:p>
          <w:p>
            <w:pPr>
              <w:rPr>
                <w:rFonts w:ascii="ＭＳ ゴシック" w:eastAsia="ＭＳ ゴシック" w:hAnsi="ＭＳ ゴシック"/>
                <w:kern w:val="0"/>
                <w:sz w:val="20"/>
                <w:szCs w:val="20"/>
              </w:rPr>
            </w:pPr>
          </w:p>
          <w:p>
            <w:pPr>
              <w:rPr>
                <w:rFonts w:ascii="ＭＳ ゴシック" w:eastAsia="ＭＳ ゴシック" w:hAnsi="ＭＳ ゴシック" w:cs="Meiryo UI"/>
                <w:kern w:val="0"/>
                <w:sz w:val="20"/>
                <w:szCs w:val="20"/>
              </w:rPr>
            </w:pPr>
          </w:p>
        </w:tc>
        <w:tc>
          <w:tcPr>
            <w:tcW w:w="7796" w:type="dxa"/>
          </w:tcPr>
          <w:p>
            <w:pPr>
              <w:spacing w:line="320" w:lineRule="exact"/>
              <w:rPr>
                <w:rFonts w:ascii="ＭＳ ゴシック" w:eastAsia="ＭＳ ゴシック" w:hAnsi="ＭＳ ゴシック"/>
                <w:sz w:val="20"/>
                <w:szCs w:val="20"/>
              </w:rPr>
            </w:pPr>
            <w:r>
              <w:rPr>
                <w:rFonts w:ascii="ＭＳ ゴシック" w:eastAsia="ＭＳ ゴシック" w:hAnsi="ＭＳ ゴシック" w:cs="Meiryo UI" w:hint="eastAsia"/>
                <w:color w:val="000000" w:themeColor="text1"/>
                <w:sz w:val="20"/>
                <w:szCs w:val="20"/>
              </w:rPr>
              <w:t>〈</w:t>
            </w:r>
            <w:r>
              <w:rPr>
                <w:rFonts w:ascii="ＭＳ ゴシック" w:eastAsia="ＭＳ ゴシック" w:hAnsi="ＭＳ ゴシック" w:hint="eastAsia"/>
                <w:sz w:val="20"/>
                <w:szCs w:val="20"/>
              </w:rPr>
              <w:t>対象〉糖尿病リスク保有者のうち、医療機関未受診者、又は糖尿病治療中断者</w:t>
            </w:r>
          </w:p>
          <w:p>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〈方法〉個別受診勧奨通知の発送、電話勧奨</w:t>
            </w:r>
          </w:p>
          <w:p>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〈スケジュール〉</w:t>
            </w:r>
          </w:p>
          <w:p>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・4月～6月：対象者抽出、通知送付</w:t>
            </w:r>
          </w:p>
          <w:p>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・7月～9月：強めの受診勧奨</w:t>
            </w:r>
          </w:p>
          <w:p>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・1月：更なる受診勧奨</w:t>
            </w:r>
          </w:p>
        </w:tc>
      </w:tr>
      <w:tr>
        <w:trPr>
          <w:trHeight w:val="1977"/>
        </w:trPr>
        <w:tc>
          <w:tcPr>
            <w:tcW w:w="1838" w:type="dxa"/>
          </w:tcPr>
          <w:p>
            <w:pPr>
              <w:jc w:val="left"/>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糖尿病性腎症　　重症化保健指導</w:t>
            </w:r>
          </w:p>
        </w:tc>
        <w:tc>
          <w:tcPr>
            <w:tcW w:w="7796" w:type="dxa"/>
          </w:tcPr>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〈対象〉糖尿病性腎症患者のうち重症化リスク保有者</w:t>
            </w:r>
          </w:p>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〈方法〉生活習慣改善に向けたプログラムの実施、委託による保健指導</w:t>
            </w:r>
          </w:p>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〈スケジュール〉</w:t>
            </w:r>
          </w:p>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・4月～6月：対象者の抽出、医師会等の調整</w:t>
            </w:r>
          </w:p>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・7月：同意書の回収</w:t>
            </w:r>
          </w:p>
          <w:p>
            <w:pPr>
              <w:spacing w:line="320" w:lineRule="exact"/>
              <w:ind w:left="200" w:hangingChars="1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・9月～1月：生活習慣改善に向けたプログラムの実施</w:t>
            </w:r>
          </w:p>
        </w:tc>
      </w:tr>
      <w:tr>
        <w:trPr>
          <w:trHeight w:val="2260"/>
        </w:trPr>
        <w:tc>
          <w:tcPr>
            <w:tcW w:w="1838" w:type="dxa"/>
          </w:tcPr>
          <w:p>
            <w:pPr>
              <w:rPr>
                <w:rFonts w:ascii="ＭＳ ゴシック" w:eastAsia="ＭＳ ゴシック" w:hAnsi="ＭＳ ゴシック"/>
                <w:kern w:val="0"/>
                <w:sz w:val="20"/>
                <w:szCs w:val="20"/>
              </w:rPr>
            </w:pPr>
            <w:r>
              <w:rPr>
                <w:rFonts w:ascii="ＭＳ ゴシック" w:eastAsia="ＭＳ ゴシック" w:hAnsi="ＭＳ ゴシック" w:hint="eastAsia"/>
                <w:kern w:val="0"/>
                <w:sz w:val="20"/>
                <w:szCs w:val="20"/>
              </w:rPr>
              <w:t>保健指導実施後の継続支援</w:t>
            </w:r>
          </w:p>
        </w:tc>
        <w:tc>
          <w:tcPr>
            <w:tcW w:w="7796" w:type="dxa"/>
          </w:tcPr>
          <w:p>
            <w:pPr>
              <w:rPr>
                <w:rFonts w:ascii="ＭＳ ゴシック" w:eastAsia="ＭＳ ゴシック" w:hAnsi="ＭＳ ゴシック"/>
                <w:sz w:val="20"/>
                <w:szCs w:val="20"/>
              </w:rPr>
            </w:pPr>
            <w:r>
              <w:rPr>
                <w:rFonts w:ascii="ＭＳ ゴシック" w:eastAsia="ＭＳ ゴシック" w:hAnsi="ＭＳ ゴシック" w:hint="eastAsia"/>
                <w:sz w:val="20"/>
                <w:szCs w:val="20"/>
              </w:rPr>
              <w:t>〈対象〉保健指導修了者</w:t>
            </w:r>
          </w:p>
          <w:p>
            <w:pPr>
              <w:rPr>
                <w:rFonts w:ascii="ＭＳ ゴシック" w:eastAsia="ＭＳ ゴシック" w:hAnsi="ＭＳ ゴシック"/>
                <w:sz w:val="20"/>
                <w:szCs w:val="20"/>
              </w:rPr>
            </w:pPr>
            <w:r>
              <w:rPr>
                <w:rFonts w:ascii="ＭＳ ゴシック" w:eastAsia="ＭＳ ゴシック" w:hAnsi="ＭＳ ゴシック" w:hint="eastAsia"/>
                <w:sz w:val="20"/>
                <w:szCs w:val="20"/>
              </w:rPr>
              <w:t>〈方法〉生活習慣の継続支援</w:t>
            </w:r>
          </w:p>
          <w:p>
            <w:pPr>
              <w:rPr>
                <w:rFonts w:ascii="ＭＳ ゴシック" w:eastAsia="ＭＳ ゴシック" w:hAnsi="ＭＳ ゴシック"/>
                <w:sz w:val="20"/>
                <w:szCs w:val="20"/>
              </w:rPr>
            </w:pPr>
            <w:r>
              <w:rPr>
                <w:rFonts w:ascii="ＭＳ ゴシック" w:eastAsia="ＭＳ ゴシック" w:hAnsi="ＭＳ ゴシック" w:hint="eastAsia"/>
                <w:sz w:val="20"/>
                <w:szCs w:val="20"/>
              </w:rPr>
              <w:t>〈スケジュール〉</w:t>
            </w:r>
          </w:p>
          <w:p>
            <w:pPr>
              <w:rPr>
                <w:rFonts w:ascii="ＭＳ ゴシック" w:eastAsia="ＭＳ ゴシック" w:hAnsi="ＭＳ ゴシック"/>
                <w:sz w:val="20"/>
                <w:szCs w:val="20"/>
              </w:rPr>
            </w:pPr>
            <w:r>
              <w:rPr>
                <w:rFonts w:ascii="ＭＳ ゴシック" w:eastAsia="ＭＳ ゴシック" w:hAnsi="ＭＳ ゴシック" w:hint="eastAsia"/>
                <w:sz w:val="20"/>
                <w:szCs w:val="20"/>
              </w:rPr>
              <w:t>・4月～6月：対象者の確認</w:t>
            </w:r>
          </w:p>
          <w:p>
            <w:pPr>
              <w:rPr>
                <w:rFonts w:ascii="ＭＳ ゴシック" w:eastAsia="ＭＳ ゴシック" w:hAnsi="ＭＳ ゴシック"/>
                <w:sz w:val="20"/>
                <w:szCs w:val="20"/>
              </w:rPr>
            </w:pPr>
            <w:r>
              <w:rPr>
                <w:rFonts w:ascii="ＭＳ ゴシック" w:eastAsia="ＭＳ ゴシック" w:hAnsi="ＭＳ ゴシック" w:hint="eastAsia"/>
                <w:sz w:val="20"/>
                <w:szCs w:val="20"/>
              </w:rPr>
              <w:t>・7月～2月：継続支援の実施月～6月：対象者への参加確認</w:t>
            </w:r>
          </w:p>
          <w:p>
            <w:pPr>
              <w:rPr>
                <w:rFonts w:ascii="ＭＳ ゴシック" w:eastAsia="ＭＳ ゴシック" w:hAnsi="ＭＳ ゴシック"/>
                <w:sz w:val="20"/>
                <w:szCs w:val="20"/>
              </w:rPr>
            </w:pPr>
            <w:r>
              <w:rPr>
                <w:rFonts w:ascii="ＭＳ ゴシック" w:eastAsia="ＭＳ ゴシック" w:hAnsi="ＭＳ ゴシック" w:hint="eastAsia"/>
                <w:sz w:val="20"/>
                <w:szCs w:val="20"/>
              </w:rPr>
              <w:t>・7月～2月：継続支援の実施</w:t>
            </w:r>
          </w:p>
        </w:tc>
      </w:tr>
    </w:tbl>
    <w:p>
      <w:pPr>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p>
    <w:p>
      <w:pPr>
        <w:rPr>
          <w:rFonts w:ascii="ＭＳ ゴシック" w:eastAsia="ＭＳ ゴシック" w:hAnsi="ＭＳ ゴシック" w:cs="Calibri"/>
          <w:bCs/>
          <w:color w:val="000000"/>
          <w:kern w:val="0"/>
          <w:sz w:val="24"/>
          <w:szCs w:val="24"/>
        </w:rPr>
      </w:pPr>
      <w:r>
        <w:rPr>
          <w:rFonts w:ascii="ＭＳ ゴシック" w:eastAsia="ＭＳ ゴシック" w:hAnsi="ＭＳ ゴシック" w:cs="Calibri" w:hint="eastAsia"/>
          <w:bCs/>
          <w:color w:val="000000"/>
          <w:kern w:val="0"/>
          <w:sz w:val="24"/>
          <w:szCs w:val="24"/>
        </w:rPr>
        <w:lastRenderedPageBreak/>
        <w:t>（４）循環器疾患、がん予防対策事業</w:t>
      </w:r>
    </w:p>
    <w:p>
      <w:pPr>
        <w:ind w:firstLineChars="100" w:firstLine="240"/>
        <w:rPr>
          <w:rFonts w:ascii="ＭＳ ゴシック" w:eastAsia="ＭＳ ゴシック" w:hAnsi="ＭＳ ゴシック" w:cs="Calibri"/>
          <w:b/>
          <w:bCs/>
          <w:color w:val="000000"/>
          <w:kern w:val="0"/>
          <w:sz w:val="20"/>
          <w:szCs w:val="20"/>
        </w:rPr>
      </w:pPr>
      <w:r>
        <w:rPr>
          <w:rFonts w:ascii="ＭＳ ゴシック" w:eastAsia="ＭＳ ゴシック" w:hAnsi="ＭＳ ゴシック" w:cs="Meiryo UI" w:hint="eastAsia"/>
          <w:color w:val="000000" w:themeColor="text1"/>
          <w:sz w:val="24"/>
          <w:szCs w:val="20"/>
        </w:rPr>
        <w:t>①評価指標及び最終</w:t>
      </w:r>
      <w:r>
        <w:rPr>
          <w:rFonts w:ascii="ＭＳ ゴシック" w:eastAsia="ＭＳ ゴシック" w:hAnsi="ＭＳ ゴシック" w:cs="Meiryo UI"/>
          <w:color w:val="000000" w:themeColor="text1"/>
          <w:sz w:val="24"/>
          <w:szCs w:val="20"/>
        </w:rPr>
        <w:t>目標値</w:t>
      </w:r>
    </w:p>
    <w:tbl>
      <w:tblPr>
        <w:tblStyle w:val="af5"/>
        <w:tblW w:w="9634" w:type="dxa"/>
        <w:tblLook w:val="04A0" w:firstRow="1" w:lastRow="0" w:firstColumn="1" w:lastColumn="0" w:noHBand="0" w:noVBand="1"/>
      </w:tblPr>
      <w:tblGrid>
        <w:gridCol w:w="5807"/>
        <w:gridCol w:w="3827"/>
      </w:tblGrid>
      <w:tr>
        <w:tc>
          <w:tcPr>
            <w:tcW w:w="5807" w:type="dxa"/>
          </w:tcPr>
          <w:p>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評価指標</w:t>
            </w:r>
          </w:p>
        </w:tc>
        <w:tc>
          <w:tcPr>
            <w:tcW w:w="3827" w:type="dxa"/>
          </w:tcPr>
          <w:p>
            <w:pPr>
              <w:jc w:val="center"/>
              <w:rPr>
                <w:rFonts w:ascii="ＭＳ ゴシック" w:eastAsia="ＭＳ ゴシック" w:hAnsi="ＭＳ ゴシック"/>
                <w:sz w:val="24"/>
                <w:szCs w:val="24"/>
              </w:rPr>
            </w:pPr>
            <w:r>
              <w:rPr>
                <w:rFonts w:ascii="ＭＳ ゴシック" w:eastAsia="ＭＳ ゴシック" w:hAnsi="ＭＳ ゴシック" w:hint="eastAsia"/>
                <w:sz w:val="24"/>
                <w:szCs w:val="24"/>
              </w:rPr>
              <w:t>最終目標値</w:t>
            </w:r>
          </w:p>
        </w:tc>
      </w:tr>
      <w:tr>
        <w:tc>
          <w:tcPr>
            <w:tcW w:w="580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特定健康診査受診者の中で血中脂質（LDLコレステロール値）が受診勧奨判定値以上の者の割合</w:t>
            </w:r>
          </w:p>
        </w:tc>
        <w:tc>
          <w:tcPr>
            <w:tcW w:w="382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２０％未満</w:t>
            </w:r>
          </w:p>
        </w:tc>
      </w:tr>
      <w:tr>
        <w:tc>
          <w:tcPr>
            <w:tcW w:w="580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健康相談・教育利用者の検査値及び生活習慣が改善した者の割合</w:t>
            </w:r>
          </w:p>
        </w:tc>
        <w:tc>
          <w:tcPr>
            <w:tcW w:w="382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利用者の８０％</w:t>
            </w:r>
          </w:p>
        </w:tc>
      </w:tr>
      <w:tr>
        <w:tc>
          <w:tcPr>
            <w:tcW w:w="580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がん検診精密検査受診率</w:t>
            </w:r>
          </w:p>
        </w:tc>
        <w:tc>
          <w:tcPr>
            <w:tcW w:w="382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胃・肺・大腸・子宮がん７０％</w:t>
            </w:r>
          </w:p>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乳がん８０％</w:t>
            </w:r>
          </w:p>
        </w:tc>
      </w:tr>
      <w:tr>
        <w:tc>
          <w:tcPr>
            <w:tcW w:w="580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５がん検診受診率</w:t>
            </w:r>
          </w:p>
        </w:tc>
        <w:tc>
          <w:tcPr>
            <w:tcW w:w="382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２５％</w:t>
            </w:r>
          </w:p>
        </w:tc>
      </w:tr>
      <w:tr>
        <w:tc>
          <w:tcPr>
            <w:tcW w:w="580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人間ドック検査結果の確認割合</w:t>
            </w:r>
          </w:p>
        </w:tc>
        <w:tc>
          <w:tcPr>
            <w:tcW w:w="3827" w:type="dxa"/>
          </w:tcPr>
          <w:p>
            <w:pPr>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１００％</w:t>
            </w:r>
          </w:p>
        </w:tc>
      </w:tr>
    </w:tbl>
    <w:p>
      <w:pPr>
        <w:ind w:firstLineChars="118" w:firstLine="283"/>
        <w:rPr>
          <w:rFonts w:ascii="ＭＳ ゴシック" w:eastAsia="ＭＳ ゴシック" w:hAnsi="ＭＳ ゴシック" w:cs="Calibri"/>
          <w:bCs/>
          <w:color w:val="000000"/>
          <w:kern w:val="0"/>
          <w:sz w:val="24"/>
          <w:szCs w:val="24"/>
        </w:rPr>
      </w:pPr>
    </w:p>
    <w:p>
      <w:pPr>
        <w:ind w:firstLineChars="118" w:firstLine="283"/>
        <w:rPr>
          <w:rFonts w:ascii="ＭＳ ゴシック" w:eastAsia="ＭＳ ゴシック" w:hAnsi="ＭＳ ゴシック"/>
          <w:color w:val="000000" w:themeColor="text1"/>
          <w:sz w:val="24"/>
          <w:szCs w:val="24"/>
        </w:rPr>
      </w:pPr>
      <w:r>
        <w:rPr>
          <w:rFonts w:ascii="ＭＳ ゴシック" w:eastAsia="ＭＳ ゴシック" w:hAnsi="ＭＳ ゴシック" w:cs="Calibri" w:hint="eastAsia"/>
          <w:bCs/>
          <w:color w:val="000000"/>
          <w:kern w:val="0"/>
          <w:sz w:val="24"/>
          <w:szCs w:val="24"/>
        </w:rPr>
        <w:t>②短期目標の評価と見直し（上段：目標値、下段：実績値）</w:t>
      </w:r>
    </w:p>
    <w:tbl>
      <w:tblPr>
        <w:tblpPr w:leftFromText="142" w:rightFromText="142" w:vertAnchor="text" w:horzAnchor="margin" w:tblpY="40"/>
        <w:tblW w:w="9634" w:type="dxa"/>
        <w:tblLayout w:type="fixed"/>
        <w:tblCellMar>
          <w:left w:w="99" w:type="dxa"/>
          <w:right w:w="99" w:type="dxa"/>
        </w:tblCellMar>
        <w:tblLook w:val="04A0" w:firstRow="1" w:lastRow="0" w:firstColumn="1" w:lastColumn="0" w:noHBand="0" w:noVBand="1"/>
      </w:tblPr>
      <w:tblGrid>
        <w:gridCol w:w="2547"/>
        <w:gridCol w:w="1276"/>
        <w:gridCol w:w="1417"/>
        <w:gridCol w:w="1418"/>
        <w:gridCol w:w="1417"/>
        <w:gridCol w:w="1559"/>
      </w:tblGrid>
      <w:tr>
        <w:trPr>
          <w:trHeight w:val="575"/>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pPr>
              <w:widowControl/>
              <w:jc w:val="left"/>
              <w:rPr>
                <w:rFonts w:ascii="ＭＳ ゴシック" w:eastAsia="ＭＳ ゴシック" w:hAnsi="ＭＳ ゴシック" w:cs="ＭＳ Ｐゴシック"/>
                <w:color w:val="000000"/>
                <w:kern w:val="0"/>
                <w:sz w:val="22"/>
              </w:rPr>
            </w:pPr>
          </w:p>
        </w:tc>
        <w:tc>
          <w:tcPr>
            <w:tcW w:w="1276"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ＭＳ Ｐゴシック"/>
                <w:color w:val="000000"/>
                <w:kern w:val="0"/>
                <w:sz w:val="20"/>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H30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pPr>
              <w:widowControl/>
              <w:jc w:val="center"/>
              <w:rPr>
                <w:rFonts w:ascii="ＭＳ ゴシック" w:eastAsia="ＭＳ ゴシック" w:hAnsi="ＭＳ ゴシック" w:cs="ＭＳ Ｐゴシック"/>
                <w:color w:val="000000"/>
                <w:kern w:val="0"/>
                <w:sz w:val="20"/>
              </w:rPr>
            </w:pPr>
            <w:r>
              <w:rPr>
                <w:rFonts w:ascii="ＭＳ ゴシック" w:eastAsia="ＭＳ ゴシック" w:hAnsi="ＭＳ ゴシック" w:cs="ＭＳ Ｐゴシック" w:hint="eastAsia"/>
                <w:color w:val="000000"/>
                <w:kern w:val="0"/>
                <w:sz w:val="20"/>
              </w:rPr>
              <w:t>R元</w:t>
            </w:r>
          </w:p>
        </w:tc>
        <w:tc>
          <w:tcPr>
            <w:tcW w:w="1417" w:type="dxa"/>
            <w:tcBorders>
              <w:top w:val="single" w:sz="4" w:space="0" w:color="auto"/>
              <w:left w:val="nil"/>
              <w:bottom w:val="single" w:sz="4" w:space="0" w:color="auto"/>
              <w:right w:val="single" w:sz="4" w:space="0" w:color="auto"/>
            </w:tcBorders>
          </w:tcPr>
          <w:p>
            <w:pPr>
              <w:widowControl/>
              <w:jc w:val="center"/>
              <w:rPr>
                <w:rFonts w:ascii="ＭＳ ゴシック" w:eastAsia="ＭＳ ゴシック" w:hAnsi="ＭＳ ゴシック" w:cs="Meiryo UI"/>
                <w:color w:val="000000" w:themeColor="text1"/>
                <w:sz w:val="20"/>
              </w:rPr>
            </w:pPr>
            <w:r>
              <w:rPr>
                <w:rFonts w:ascii="ＭＳ ゴシック" w:eastAsia="ＭＳ ゴシック" w:hAnsi="ＭＳ ゴシック" w:cs="Meiryo UI" w:hint="eastAsia"/>
                <w:color w:val="000000" w:themeColor="text1"/>
                <w:sz w:val="20"/>
              </w:rPr>
              <w:t>最終年度</w:t>
            </w:r>
          </w:p>
          <w:p>
            <w:pPr>
              <w:widowControl/>
              <w:jc w:val="center"/>
              <w:rPr>
                <w:rFonts w:ascii="ＭＳ ゴシック" w:eastAsia="ＭＳ ゴシック" w:hAnsi="ＭＳ ゴシック" w:cs="Meiryo UI"/>
                <w:color w:val="000000" w:themeColor="text1"/>
                <w:sz w:val="20"/>
              </w:rPr>
            </w:pPr>
            <w:r>
              <w:rPr>
                <w:rFonts w:ascii="ＭＳ ゴシック" w:eastAsia="ＭＳ ゴシック" w:hAnsi="ＭＳ ゴシック" w:cs="Meiryo UI" w:hint="eastAsia"/>
                <w:color w:val="000000" w:themeColor="text1"/>
                <w:sz w:val="18"/>
              </w:rPr>
              <w:t>（R５年度）</w:t>
            </w:r>
          </w:p>
        </w:tc>
        <w:tc>
          <w:tcPr>
            <w:tcW w:w="1559" w:type="dxa"/>
            <w:tcBorders>
              <w:top w:val="single" w:sz="4" w:space="0" w:color="auto"/>
              <w:left w:val="nil"/>
              <w:bottom w:val="single" w:sz="4" w:space="0" w:color="auto"/>
              <w:right w:val="single" w:sz="4" w:space="0" w:color="auto"/>
            </w:tcBorders>
          </w:tcPr>
          <w:p>
            <w:pPr>
              <w:widowControl/>
              <w:spacing w:line="240" w:lineRule="exact"/>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 xml:space="preserve">　　　　　</w:t>
            </w:r>
          </w:p>
          <w:p>
            <w:pPr>
              <w:widowControl/>
              <w:spacing w:line="240" w:lineRule="exact"/>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0"/>
              </w:rPr>
              <w:t>達成状況</w:t>
            </w:r>
          </w:p>
        </w:tc>
      </w:tr>
      <w:tr>
        <w:trPr>
          <w:trHeight w:val="966"/>
        </w:trPr>
        <w:tc>
          <w:tcPr>
            <w:tcW w:w="2547" w:type="dxa"/>
            <w:vMerge w:val="restart"/>
            <w:tcBorders>
              <w:top w:val="single" w:sz="4" w:space="0" w:color="auto"/>
              <w:left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特定健診受診者の中で血中脂質（LDLコレステロール値）が受診勧奨値以上の者</w:t>
            </w:r>
          </w:p>
        </w:tc>
        <w:tc>
          <w:tcPr>
            <w:tcW w:w="1276" w:type="dxa"/>
            <w:tcBorders>
              <w:top w:val="single" w:sz="4" w:space="0" w:color="auto"/>
              <w:left w:val="nil"/>
              <w:bottom w:val="single" w:sz="4" w:space="0" w:color="auto"/>
              <w:right w:val="single" w:sz="4" w:space="0" w:color="auto"/>
            </w:tcBorders>
          </w:tcPr>
          <w:p>
            <w:pPr>
              <w:widowControl/>
              <w:spacing w:line="600" w:lineRule="auto"/>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目標値</w:t>
            </w:r>
          </w:p>
        </w:tc>
        <w:tc>
          <w:tcPr>
            <w:tcW w:w="141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20％未満</w:t>
            </w:r>
          </w:p>
        </w:tc>
        <w:tc>
          <w:tcPr>
            <w:tcW w:w="1418"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20％未満</w:t>
            </w:r>
          </w:p>
        </w:tc>
        <w:tc>
          <w:tcPr>
            <w:tcW w:w="1417" w:type="dxa"/>
            <w:tcBorders>
              <w:top w:val="single" w:sz="4" w:space="0" w:color="auto"/>
              <w:left w:val="nil"/>
              <w:bottom w:val="single" w:sz="4" w:space="0" w:color="auto"/>
              <w:right w:val="single" w:sz="4" w:space="0" w:color="auto"/>
            </w:tcBorders>
          </w:tcPr>
          <w:p>
            <w:pPr>
              <w:widowControl/>
              <w:tabs>
                <w:tab w:val="center" w:pos="550"/>
                <w:tab w:val="right" w:pos="1101"/>
              </w:tabs>
              <w:spacing w:line="600" w:lineRule="auto"/>
              <w:ind w:rightChars="-50" w:right="-105"/>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color w:val="000000"/>
                <w:kern w:val="0"/>
              </w:rPr>
              <w:t xml:space="preserve">  </w:t>
            </w:r>
            <w:r>
              <w:rPr>
                <w:rFonts w:ascii="ＭＳ ゴシック" w:eastAsia="ＭＳ ゴシック" w:hAnsi="ＭＳ ゴシック" w:cs="ＭＳ Ｐゴシック" w:hint="eastAsia"/>
                <w:color w:val="000000"/>
                <w:kern w:val="0"/>
              </w:rPr>
              <w:t>20％未満</w:t>
            </w:r>
          </w:p>
        </w:tc>
        <w:tc>
          <w:tcPr>
            <w:tcW w:w="1559" w:type="dxa"/>
            <w:vMerge w:val="restart"/>
            <w:tcBorders>
              <w:top w:val="single" w:sz="4" w:space="0" w:color="auto"/>
              <w:left w:val="nil"/>
              <w:right w:val="single" w:sz="4" w:space="0" w:color="auto"/>
            </w:tcBorders>
          </w:tcPr>
          <w:p>
            <w:pPr>
              <w:widowControl/>
              <w:ind w:leftChars="150" w:left="315" w:right="185"/>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未達成</w:t>
            </w:r>
          </w:p>
        </w:tc>
      </w:tr>
      <w:tr>
        <w:trPr>
          <w:trHeight w:val="690"/>
        </w:trPr>
        <w:tc>
          <w:tcPr>
            <w:tcW w:w="2547" w:type="dxa"/>
            <w:vMerge/>
            <w:tcBorders>
              <w:left w:val="single" w:sz="4" w:space="0" w:color="auto"/>
              <w:bottom w:val="single" w:sz="4" w:space="0" w:color="auto"/>
              <w:right w:val="single" w:sz="4" w:space="0" w:color="auto"/>
            </w:tcBorders>
            <w:shd w:val="clear" w:color="auto" w:fill="auto"/>
            <w:noWrap/>
            <w:vAlign w:val="center"/>
          </w:tcPr>
          <w:p>
            <w:pPr>
              <w:widowControl/>
              <w:jc w:val="left"/>
              <w:rPr>
                <w:rFonts w:ascii="ＭＳ ゴシック" w:eastAsia="ＭＳ ゴシック" w:hAnsi="ＭＳ ゴシック" w:cs="ＭＳ Ｐゴシック"/>
                <w:color w:val="000000"/>
                <w:kern w:val="0"/>
              </w:rPr>
            </w:pPr>
          </w:p>
        </w:tc>
        <w:tc>
          <w:tcPr>
            <w:tcW w:w="1276" w:type="dxa"/>
            <w:tcBorders>
              <w:top w:val="single" w:sz="4" w:space="0" w:color="auto"/>
              <w:left w:val="nil"/>
              <w:bottom w:val="single" w:sz="4" w:space="0" w:color="auto"/>
              <w:right w:val="single" w:sz="4" w:space="0" w:color="auto"/>
            </w:tcBorders>
          </w:tcPr>
          <w:p>
            <w:pPr>
              <w:widowControl/>
              <w:spacing w:line="600" w:lineRule="auto"/>
              <w:jc w:val="center"/>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実績値</w:t>
            </w:r>
          </w:p>
        </w:tc>
        <w:tc>
          <w:tcPr>
            <w:tcW w:w="1417"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themeColor="text1"/>
                <w:kern w:val="0"/>
              </w:rPr>
              <w:t>30.2％</w:t>
            </w:r>
          </w:p>
        </w:tc>
        <w:tc>
          <w:tcPr>
            <w:tcW w:w="1418" w:type="dxa"/>
            <w:tcBorders>
              <w:top w:val="single" w:sz="4" w:space="0" w:color="auto"/>
              <w:left w:val="nil"/>
              <w:bottom w:val="single" w:sz="4" w:space="0" w:color="auto"/>
              <w:right w:val="single" w:sz="4" w:space="0" w:color="auto"/>
            </w:tcBorders>
            <w:shd w:val="clear" w:color="auto" w:fill="auto"/>
            <w:noWrap/>
            <w:vAlign w:val="center"/>
          </w:tcPr>
          <w:p>
            <w:pPr>
              <w:widowControl/>
              <w:jc w:val="right"/>
              <w:rPr>
                <w:rFonts w:ascii="ＭＳ ゴシック" w:eastAsia="ＭＳ ゴシック" w:hAnsi="ＭＳ ゴシック" w:cs="ＭＳ Ｐゴシック"/>
                <w:color w:val="000000"/>
                <w:kern w:val="0"/>
              </w:rPr>
            </w:pPr>
            <w:r>
              <w:rPr>
                <w:rFonts w:ascii="ＭＳ ゴシック" w:eastAsia="ＭＳ ゴシック" w:hAnsi="ＭＳ ゴシック" w:cs="ＭＳ Ｐゴシック" w:hint="eastAsia"/>
                <w:color w:val="000000"/>
                <w:kern w:val="0"/>
              </w:rPr>
              <w:t>30.6％</w:t>
            </w:r>
          </w:p>
        </w:tc>
        <w:tc>
          <w:tcPr>
            <w:tcW w:w="1417" w:type="dxa"/>
            <w:tcBorders>
              <w:top w:val="single" w:sz="4" w:space="0" w:color="auto"/>
              <w:left w:val="nil"/>
              <w:bottom w:val="single" w:sz="4" w:space="0" w:color="auto"/>
              <w:right w:val="single" w:sz="4" w:space="0" w:color="auto"/>
            </w:tcBorders>
          </w:tcPr>
          <w:p>
            <w:pPr>
              <w:widowControl/>
              <w:spacing w:line="600" w:lineRule="auto"/>
              <w:jc w:val="right"/>
              <w:rPr>
                <w:rFonts w:ascii="ＭＳ ゴシック" w:eastAsia="ＭＳ ゴシック" w:hAnsi="ＭＳ ゴシック" w:cs="ＭＳ Ｐゴシック"/>
                <w:color w:val="000000"/>
                <w:kern w:val="0"/>
              </w:rPr>
            </w:pPr>
            <w:r>
              <w:rPr>
                <w:rFonts w:ascii="ＭＳ ゴシック" w:eastAsia="ＭＳ ゴシック" w:hAnsi="ＭＳ ゴシック" w:cs="Meiryo UI" w:hint="eastAsia"/>
                <w:color w:val="000000" w:themeColor="text1"/>
                <w:sz w:val="22"/>
              </w:rPr>
              <w:t>―</w:t>
            </w:r>
          </w:p>
        </w:tc>
        <w:tc>
          <w:tcPr>
            <w:tcW w:w="1559" w:type="dxa"/>
            <w:vMerge/>
            <w:tcBorders>
              <w:left w:val="nil"/>
              <w:bottom w:val="single" w:sz="4" w:space="0" w:color="auto"/>
              <w:right w:val="single" w:sz="4" w:space="0" w:color="auto"/>
            </w:tcBorders>
          </w:tcPr>
          <w:p>
            <w:pPr>
              <w:widowControl/>
              <w:jc w:val="right"/>
              <w:rPr>
                <w:rFonts w:ascii="ＭＳ ゴシック" w:eastAsia="ＭＳ ゴシック" w:hAnsi="ＭＳ ゴシック" w:cs="ＭＳ Ｐゴシック"/>
                <w:color w:val="000000"/>
                <w:kern w:val="0"/>
              </w:rPr>
            </w:pPr>
          </w:p>
        </w:tc>
      </w:tr>
    </w:tbl>
    <w:p>
      <w:pPr>
        <w:rPr>
          <w:rFonts w:ascii="ＭＳ ゴシック" w:eastAsia="ＭＳ ゴシック" w:hAnsi="ＭＳ ゴシック"/>
          <w:color w:val="000000" w:themeColor="text1"/>
          <w:sz w:val="24"/>
          <w:szCs w:val="24"/>
        </w:rPr>
      </w:pPr>
      <w:r>
        <w:rPr>
          <w:rFonts w:ascii="ＭＳ ゴシック" w:eastAsia="ＭＳ ゴシック" w:hAnsi="ＭＳ ゴシック"/>
          <w:noProof/>
        </w:rPr>
        <w:t xml:space="preserve"> </w:t>
      </w:r>
    </w:p>
    <w:p>
      <w:pPr>
        <w:ind w:firstLineChars="100" w:firstLine="240"/>
        <w:rPr>
          <w:rFonts w:ascii="ＭＳ ゴシック" w:eastAsia="ＭＳ ゴシック" w:hAnsi="ＭＳ ゴシック" w:cs="Calibri"/>
          <w:bCs/>
          <w:color w:val="000000"/>
          <w:kern w:val="0"/>
          <w:sz w:val="24"/>
          <w:szCs w:val="24"/>
        </w:rPr>
      </w:pPr>
      <w:r>
        <w:rPr>
          <w:rFonts w:ascii="ＭＳ ゴシック" w:eastAsia="ＭＳ ゴシック" w:hAnsi="ＭＳ ゴシック" w:hint="eastAsia"/>
          <w:sz w:val="24"/>
          <w:szCs w:val="24"/>
        </w:rPr>
        <w:t>③達成</w:t>
      </w:r>
      <w:r>
        <w:rPr>
          <w:rFonts w:ascii="ＭＳ ゴシック" w:eastAsia="ＭＳ ゴシック" w:hAnsi="ＭＳ ゴシック"/>
          <w:sz w:val="24"/>
          <w:szCs w:val="24"/>
        </w:rPr>
        <w:t>、未達成要因及び事業の方向性</w:t>
      </w:r>
    </w:p>
    <w:tbl>
      <w:tblPr>
        <w:tblStyle w:val="af5"/>
        <w:tblW w:w="9664" w:type="dxa"/>
        <w:tblLook w:val="04A0" w:firstRow="1" w:lastRow="0" w:firstColumn="1" w:lastColumn="0" w:noHBand="0" w:noVBand="1"/>
      </w:tblPr>
      <w:tblGrid>
        <w:gridCol w:w="2830"/>
        <w:gridCol w:w="2694"/>
        <w:gridCol w:w="4140"/>
      </w:tblGrid>
      <w:tr>
        <w:trPr>
          <w:trHeight w:val="322"/>
        </w:trPr>
        <w:tc>
          <w:tcPr>
            <w:tcW w:w="283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達成要因</w:t>
            </w:r>
          </w:p>
        </w:tc>
        <w:tc>
          <w:tcPr>
            <w:tcW w:w="269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未達成要因</w:t>
            </w:r>
          </w:p>
        </w:tc>
        <w:tc>
          <w:tcPr>
            <w:tcW w:w="41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事業の方向性</w:t>
            </w:r>
          </w:p>
        </w:tc>
      </w:tr>
      <w:tr>
        <w:trPr>
          <w:trHeight w:val="2552"/>
        </w:trPr>
        <w:tc>
          <w:tcPr>
            <w:tcW w:w="2830" w:type="dxa"/>
            <w:tcBorders>
              <w:top w:val="single" w:sz="4" w:space="0" w:color="000000"/>
              <w:left w:val="single" w:sz="4" w:space="0" w:color="000000"/>
              <w:bottom w:val="single" w:sz="4" w:space="0" w:color="000000"/>
              <w:right w:val="single" w:sz="4" w:space="0" w:color="000000"/>
            </w:tcBorders>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・計画どおり事業を実施することができた。</w:t>
            </w:r>
          </w:p>
          <w:p>
            <w:pPr>
              <w:rPr>
                <w:rFonts w:ascii="ＭＳ ゴシック" w:eastAsia="ＭＳ ゴシック" w:hAnsi="ＭＳ ゴシック" w:cs="Meiryo UI"/>
                <w:color w:val="FF0000"/>
                <w:sz w:val="20"/>
                <w:szCs w:val="20"/>
              </w:rPr>
            </w:pPr>
          </w:p>
          <w:p>
            <w:pPr>
              <w:rPr>
                <w:rFonts w:ascii="ＭＳ ゴシック" w:eastAsia="ＭＳ ゴシック" w:hAnsi="ＭＳ ゴシック" w:cs="Meiryo UI"/>
                <w:color w:val="FF0000"/>
                <w:sz w:val="20"/>
                <w:szCs w:val="20"/>
              </w:rPr>
            </w:pPr>
          </w:p>
        </w:tc>
        <w:tc>
          <w:tcPr>
            <w:tcW w:w="2694" w:type="dxa"/>
            <w:tcBorders>
              <w:top w:val="single" w:sz="4" w:space="0" w:color="000000"/>
              <w:left w:val="single" w:sz="4" w:space="0" w:color="000000"/>
              <w:bottom w:val="single" w:sz="4" w:space="0" w:color="000000"/>
              <w:right w:val="single" w:sz="4" w:space="0" w:color="000000"/>
            </w:tcBorders>
          </w:tcPr>
          <w:p>
            <w:pPr>
              <w:rPr>
                <w:rFonts w:ascii="ＭＳ ゴシック" w:eastAsia="ＭＳ ゴシック" w:hAnsi="ＭＳ ゴシック" w:cs="Meiryo UI"/>
                <w:color w:val="FF0000"/>
                <w:sz w:val="20"/>
                <w:szCs w:val="20"/>
              </w:rPr>
            </w:pPr>
            <w:r>
              <w:rPr>
                <w:rFonts w:ascii="ＭＳ ゴシック" w:eastAsia="ＭＳ ゴシック" w:hAnsi="ＭＳ ゴシック" w:cs="Meiryo UI" w:hint="eastAsia"/>
                <w:color w:val="000000" w:themeColor="text1"/>
                <w:sz w:val="20"/>
                <w:szCs w:val="20"/>
              </w:rPr>
              <w:t>・がん検診については、通知による周知を行ったが、受診率の大きな上昇はなかった。新規の受診者が増えないことが一つの要因と思われる。</w:t>
            </w:r>
          </w:p>
        </w:tc>
        <w:tc>
          <w:tcPr>
            <w:tcW w:w="4140" w:type="dxa"/>
            <w:tcBorders>
              <w:top w:val="single" w:sz="4" w:space="0" w:color="000000"/>
              <w:left w:val="single" w:sz="4" w:space="0" w:color="000000"/>
              <w:bottom w:val="single" w:sz="4" w:space="0" w:color="000000"/>
              <w:right w:val="single" w:sz="4" w:space="0" w:color="000000"/>
            </w:tcBorders>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・特定保健指導対象者以外で、服薬の必要性があると考えられる検査値以上の者に受診勧奨を行う。</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Ｒ元年度では、心筋梗塞などの循環器疾患に関する医療費が全国と比較し高いこと、また特定健診の有所見率でも男女ともにLDLコレステロール値が高い傾向があることからLDLコレステロールに着目し、健康教室・健康相談を実施する。</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・がん検診の検査内容と必要性を訴求するチラシの作成をする。</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・人間ドック・脳ドックの受検率向上対策事業は、健康の保持増進を更に図るため、検査結果の確認割合に変更し、受検者の検査結果把握し、必要に応じた健康相談や特定保健指導を実施する。</w:t>
            </w:r>
          </w:p>
        </w:tc>
      </w:tr>
    </w:tbl>
    <w:p>
      <w:pPr>
        <w:ind w:firstLineChars="100" w:firstLine="240"/>
        <w:rPr>
          <w:rFonts w:ascii="ＭＳ ゴシック" w:eastAsia="ＭＳ ゴシック" w:hAnsi="ＭＳ ゴシック" w:cs="Meiryo UI"/>
          <w:color w:val="000000" w:themeColor="text1"/>
          <w:sz w:val="24"/>
          <w:szCs w:val="24"/>
        </w:rPr>
      </w:pP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cs="Meiryo UI" w:hint="eastAsia"/>
          <w:color w:val="000000" w:themeColor="text1"/>
          <w:sz w:val="24"/>
          <w:szCs w:val="24"/>
        </w:rPr>
        <w:lastRenderedPageBreak/>
        <w:t>④③</w:t>
      </w:r>
      <w:r>
        <w:rPr>
          <w:rFonts w:ascii="ＭＳ ゴシック" w:eastAsia="ＭＳ ゴシック" w:hAnsi="ＭＳ ゴシック" w:cs="Meiryo UI"/>
          <w:color w:val="000000" w:themeColor="text1"/>
          <w:sz w:val="24"/>
          <w:szCs w:val="24"/>
        </w:rPr>
        <w:t>の</w:t>
      </w:r>
      <w:r>
        <w:rPr>
          <w:rFonts w:ascii="ＭＳ ゴシック" w:eastAsia="ＭＳ ゴシック" w:hAnsi="ＭＳ ゴシック" w:cs="Meiryo UI" w:hint="eastAsia"/>
          <w:color w:val="000000" w:themeColor="text1"/>
          <w:sz w:val="24"/>
          <w:szCs w:val="24"/>
        </w:rPr>
        <w:t>見直しの</w:t>
      </w:r>
      <w:r>
        <w:rPr>
          <w:rFonts w:ascii="ＭＳ ゴシック" w:eastAsia="ＭＳ ゴシック" w:hAnsi="ＭＳ ゴシック" w:cs="Meiryo UI"/>
          <w:color w:val="000000" w:themeColor="text1"/>
          <w:sz w:val="24"/>
          <w:szCs w:val="24"/>
        </w:rPr>
        <w:t>結果、実施する</w:t>
      </w:r>
      <w:r>
        <w:rPr>
          <w:rFonts w:ascii="ＭＳ ゴシック" w:eastAsia="ＭＳ ゴシック" w:hAnsi="ＭＳ ゴシック" w:cs="Meiryo UI" w:hint="eastAsia"/>
          <w:color w:val="000000" w:themeColor="text1"/>
          <w:sz w:val="24"/>
          <w:szCs w:val="24"/>
        </w:rPr>
        <w:t>内容</w:t>
      </w:r>
    </w:p>
    <w:tbl>
      <w:tblPr>
        <w:tblStyle w:val="af5"/>
        <w:tblW w:w="0" w:type="auto"/>
        <w:tblLook w:val="04A0" w:firstRow="1" w:lastRow="0" w:firstColumn="1" w:lastColumn="0" w:noHBand="0" w:noVBand="1"/>
      </w:tblPr>
      <w:tblGrid>
        <w:gridCol w:w="1980"/>
        <w:gridCol w:w="7648"/>
      </w:tblGrid>
      <w:tr>
        <w:tc>
          <w:tcPr>
            <w:tcW w:w="9628"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内容</w:t>
            </w:r>
          </w:p>
        </w:tc>
      </w:tr>
      <w:t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ストラクチャー</w:t>
            </w:r>
          </w:p>
        </w:tc>
        <w:tc>
          <w:tcPr>
            <w:tcW w:w="7648" w:type="dxa"/>
          </w:tcPr>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・予算の確保</w:t>
            </w:r>
            <w:r>
              <w:rPr>
                <w:rFonts w:ascii="ＭＳ ゴシック" w:eastAsia="ＭＳ ゴシック" w:hAnsi="ＭＳ ゴシック" w:hint="eastAsia"/>
                <w:sz w:val="20"/>
                <w:szCs w:val="20"/>
              </w:rPr>
              <w:t>〈継続〉</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・保健指導従事者の確保</w:t>
            </w:r>
            <w:r>
              <w:rPr>
                <w:rFonts w:ascii="ＭＳ ゴシック" w:eastAsia="ＭＳ ゴシック" w:hAnsi="ＭＳ ゴシック" w:hint="eastAsia"/>
                <w:sz w:val="20"/>
                <w:szCs w:val="20"/>
              </w:rPr>
              <w:t>〈継続〉</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hint="eastAsia"/>
                <w:color w:val="000000" w:themeColor="text1"/>
                <w:sz w:val="20"/>
                <w:szCs w:val="20"/>
              </w:rPr>
              <w:t>・医師会・医療機関との連携</w:t>
            </w:r>
            <w:r>
              <w:rPr>
                <w:rFonts w:ascii="ＭＳ ゴシック" w:eastAsia="ＭＳ ゴシック" w:hAnsi="ＭＳ ゴシック" w:hint="eastAsia"/>
                <w:sz w:val="20"/>
                <w:szCs w:val="20"/>
              </w:rPr>
              <w:t>〈継続〉</w:t>
            </w:r>
          </w:p>
        </w:tc>
      </w:tr>
      <w:tr>
        <w:trPr>
          <w:trHeight w:val="698"/>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プロセス</w:t>
            </w:r>
          </w:p>
        </w:tc>
        <w:tc>
          <w:tcPr>
            <w:tcW w:w="7648" w:type="dxa"/>
          </w:tcPr>
          <w:p>
            <w:pPr>
              <w:ind w:left="200" w:hangingChars="100" w:hanging="20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・通知、案内の文面についての工夫</w:t>
            </w:r>
            <w:r>
              <w:rPr>
                <w:rFonts w:ascii="ＭＳ ゴシック" w:eastAsia="ＭＳ ゴシック" w:hAnsi="ＭＳ ゴシック" w:hint="eastAsia"/>
                <w:sz w:val="20"/>
                <w:szCs w:val="20"/>
              </w:rPr>
              <w:t>〈継続〉</w:t>
            </w:r>
          </w:p>
          <w:p>
            <w:pPr>
              <w:ind w:left="200" w:hangingChars="100" w:hanging="20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・勧奨、実施を行うにあたり、効果的な時期の検討</w:t>
            </w:r>
            <w:r>
              <w:rPr>
                <w:rFonts w:ascii="ＭＳ ゴシック" w:eastAsia="ＭＳ ゴシック" w:hAnsi="ＭＳ ゴシック" w:hint="eastAsia"/>
                <w:sz w:val="20"/>
                <w:szCs w:val="20"/>
              </w:rPr>
              <w:t>〈継続〉</w:t>
            </w:r>
          </w:p>
        </w:tc>
      </w:tr>
    </w:tbl>
    <w:p>
      <w:pPr>
        <w:rPr>
          <w:rFonts w:ascii="ＭＳ ゴシック" w:eastAsia="ＭＳ ゴシック" w:hAnsi="ＭＳ ゴシック" w:cs="Meiryo UI"/>
          <w:color w:val="000000" w:themeColor="text1"/>
          <w:sz w:val="24"/>
          <w:szCs w:val="20"/>
        </w:rPr>
      </w:pPr>
    </w:p>
    <w:p>
      <w:pPr>
        <w:ind w:firstLineChars="100" w:firstLine="24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4"/>
          <w:szCs w:val="20"/>
        </w:rPr>
        <w:t>⑤具体的な事業実施</w:t>
      </w:r>
      <w:r>
        <w:rPr>
          <w:rFonts w:ascii="ＭＳ ゴシック" w:eastAsia="ＭＳ ゴシック" w:hAnsi="ＭＳ ゴシック" w:cs="Meiryo UI"/>
          <w:color w:val="000000" w:themeColor="text1"/>
          <w:sz w:val="24"/>
          <w:szCs w:val="20"/>
        </w:rPr>
        <w:t>内容</w:t>
      </w:r>
    </w:p>
    <w:tbl>
      <w:tblPr>
        <w:tblStyle w:val="af5"/>
        <w:tblW w:w="9634" w:type="dxa"/>
        <w:tblLook w:val="04A0" w:firstRow="1" w:lastRow="0" w:firstColumn="1" w:lastColumn="0" w:noHBand="0" w:noVBand="1"/>
      </w:tblPr>
      <w:tblGrid>
        <w:gridCol w:w="1980"/>
        <w:gridCol w:w="7654"/>
      </w:tblGrid>
      <w:tr>
        <w:tc>
          <w:tcPr>
            <w:tcW w:w="9634"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事業実施内容</w:t>
            </w:r>
          </w:p>
        </w:tc>
      </w:tr>
      <w:tr>
        <w:trPr>
          <w:trHeight w:val="840"/>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受診勧奨・健康相談</w:t>
            </w:r>
          </w:p>
        </w:tc>
        <w:tc>
          <w:tcPr>
            <w:tcW w:w="7654" w:type="dxa"/>
          </w:tcPr>
          <w:p>
            <w:pPr>
              <w:ind w:left="1000" w:hangingChars="500" w:hanging="100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w:t>
            </w:r>
          </w:p>
          <w:p>
            <w:pPr>
              <w:ind w:left="168" w:hangingChars="84" w:hanging="168"/>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・特定保健指導対象者外(非肥満)で血圧・中性脂肪・血糖が受診勧奨判定値以上のもの</w:t>
            </w:r>
          </w:p>
          <w:p>
            <w:pPr>
              <w:jc w:val="left"/>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・特定健診受診者でLDLコレステロールが保健指導判定値以上のもの</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〈方法〉①受診勧奨通知の送付</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 xml:space="preserve">        ②健康相談・教育の実施</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〈時期〉９月～３月</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ind w:left="200" w:hangingChars="100" w:hanging="20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 xml:space="preserve">  ・マニュアル作成  ・対象者の抽出 ・通知の送付 ・健診結果に基づく健康相談・教育の実施</w:t>
            </w:r>
          </w:p>
        </w:tc>
      </w:tr>
      <w:tr>
        <w:trPr>
          <w:trHeight w:val="1609"/>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がん検診精密検査受診勧奨</w:t>
            </w:r>
          </w:p>
        </w:tc>
        <w:tc>
          <w:tcPr>
            <w:tcW w:w="7654"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〈対象〉・各がん検診(胃・肺・大腸・子宮・乳)の受診</w:t>
            </w:r>
          </w:p>
          <w:p>
            <w:pPr>
              <w:ind w:firstLineChars="350" w:firstLine="700"/>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・結果が「要精密検査」の判定であって、精密検査未受診者</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〈方法〉受診勧奨通知送付</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〈時期〉各検診終了後</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 xml:space="preserve">       ・対象者の抽出　・通知の送付</w:t>
            </w:r>
          </w:p>
        </w:tc>
      </w:tr>
      <w:tr>
        <w:trPr>
          <w:trHeight w:val="1609"/>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がん検診受診勧奨</w:t>
            </w:r>
          </w:p>
        </w:tc>
        <w:tc>
          <w:tcPr>
            <w:tcW w:w="7654"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〈対象〉各がん検診(胃・肺・大腸・子宮・乳)の対象者</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〈方法〉土曜日、日曜日の集団検診実施</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〈時期〉通年</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 xml:space="preserve"> ・日程表、申し込みハガキを広報に折り込み(４月)  ・広報に掲載 (４月)</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 xml:space="preserve"> ・「がん検診受診率50%に向けたキャンペーン」の普及啓発</w:t>
            </w:r>
          </w:p>
        </w:tc>
      </w:tr>
      <w:tr>
        <w:trPr>
          <w:trHeight w:val="2278"/>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人間ドック・脳ドック検査結果の確認割合</w:t>
            </w:r>
          </w:p>
        </w:tc>
        <w:tc>
          <w:tcPr>
            <w:tcW w:w="7654"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〈対象〉満30歳以上（受検当日）の被保険者</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〈方法〉広報、ホームページに掲載、窓口などでの結果提出依頼</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〈時期〉通年</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・広報、ホームページ等で周知</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・検査結果の内容確認</w:t>
            </w:r>
          </w:p>
        </w:tc>
      </w:tr>
    </w:tbl>
    <w:p>
      <w:pPr>
        <w:rPr>
          <w:rFonts w:ascii="ＭＳ ゴシック" w:eastAsia="ＭＳ ゴシック" w:hAnsi="ＭＳ ゴシック" w:cs="Meiryo UI"/>
          <w:color w:val="000000" w:themeColor="text1"/>
          <w:sz w:val="24"/>
          <w:szCs w:val="28"/>
        </w:rPr>
      </w:pPr>
    </w:p>
    <w:p>
      <w:pPr>
        <w:rPr>
          <w:rFonts w:ascii="ＭＳ ゴシック" w:eastAsia="ＭＳ ゴシック" w:hAnsi="ＭＳ ゴシック" w:cs="Meiryo UI"/>
          <w:color w:val="000000" w:themeColor="text1"/>
          <w:sz w:val="24"/>
          <w:szCs w:val="28"/>
        </w:rPr>
      </w:pPr>
    </w:p>
    <w:p>
      <w:pPr>
        <w:rPr>
          <w:rFonts w:ascii="ＭＳ ゴシック" w:eastAsia="ＭＳ ゴシック" w:hAnsi="ＭＳ ゴシック" w:cs="Meiryo UI"/>
          <w:color w:val="000000" w:themeColor="text1"/>
          <w:sz w:val="24"/>
          <w:szCs w:val="28"/>
        </w:rPr>
      </w:pPr>
      <w:r>
        <w:rPr>
          <w:rFonts w:ascii="ＭＳ ゴシック" w:eastAsia="ＭＳ ゴシック" w:hAnsi="ＭＳ ゴシック" w:cs="Meiryo UI" w:hint="eastAsia"/>
          <w:color w:val="000000" w:themeColor="text1"/>
          <w:sz w:val="24"/>
          <w:szCs w:val="28"/>
        </w:rPr>
        <w:lastRenderedPageBreak/>
        <w:t>（５）医療費適正化事業</w:t>
      </w:r>
    </w:p>
    <w:p>
      <w:pPr>
        <w:ind w:firstLineChars="100" w:firstLine="240"/>
        <w:rPr>
          <w:rFonts w:ascii="ＭＳ ゴシック" w:eastAsia="ＭＳ ゴシック" w:hAnsi="ＭＳ ゴシック" w:cs="Calibri"/>
          <w:b/>
          <w:bCs/>
          <w:color w:val="000000"/>
          <w:kern w:val="0"/>
          <w:sz w:val="20"/>
          <w:szCs w:val="20"/>
        </w:rPr>
      </w:pPr>
      <w:r>
        <w:rPr>
          <w:rFonts w:ascii="ＭＳ ゴシック" w:eastAsia="ＭＳ ゴシック" w:hAnsi="ＭＳ ゴシック" w:cs="Meiryo UI" w:hint="eastAsia"/>
          <w:color w:val="000000" w:themeColor="text1"/>
          <w:sz w:val="24"/>
          <w:szCs w:val="20"/>
        </w:rPr>
        <w:t>①評価指標及び最終</w:t>
      </w:r>
      <w:r>
        <w:rPr>
          <w:rFonts w:ascii="ＭＳ ゴシック" w:eastAsia="ＭＳ ゴシック" w:hAnsi="ＭＳ ゴシック" w:cs="Meiryo UI"/>
          <w:color w:val="000000" w:themeColor="text1"/>
          <w:sz w:val="24"/>
          <w:szCs w:val="20"/>
        </w:rPr>
        <w:t>目標値</w:t>
      </w:r>
    </w:p>
    <w:tbl>
      <w:tblPr>
        <w:tblStyle w:val="40"/>
        <w:tblW w:w="9639" w:type="dxa"/>
        <w:tblInd w:w="-5" w:type="dxa"/>
        <w:tblLook w:val="04A0" w:firstRow="1" w:lastRow="0" w:firstColumn="1" w:lastColumn="0" w:noHBand="0" w:noVBand="1"/>
      </w:tblPr>
      <w:tblGrid>
        <w:gridCol w:w="6096"/>
        <w:gridCol w:w="3543"/>
      </w:tblGrid>
      <w:tr>
        <w:trPr>
          <w:trHeight w:val="490"/>
        </w:trPr>
        <w:tc>
          <w:tcPr>
            <w:tcW w:w="6096"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評価指標</w:t>
            </w:r>
          </w:p>
        </w:tc>
        <w:tc>
          <w:tcPr>
            <w:tcW w:w="3543" w:type="dxa"/>
            <w:tcBorders>
              <w:top w:val="single" w:sz="4" w:space="0" w:color="000000"/>
              <w:left w:val="single" w:sz="4" w:space="0" w:color="000000"/>
              <w:bottom w:val="single" w:sz="4" w:space="0" w:color="000000"/>
              <w:right w:val="single" w:sz="4" w:space="0" w:color="000000"/>
            </w:tcBorders>
            <w:hideMark/>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最終目標</w:t>
            </w:r>
          </w:p>
        </w:tc>
      </w:tr>
      <w:tr>
        <w:trPr>
          <w:trHeight w:val="490"/>
        </w:trPr>
        <w:tc>
          <w:tcPr>
            <w:tcW w:w="6096"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sz w:val="22"/>
              </w:rPr>
              <w:t>ジェネリック医薬品の数量シェア率</w:t>
            </w:r>
          </w:p>
        </w:tc>
        <w:tc>
          <w:tcPr>
            <w:tcW w:w="3543"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80％以上</w:t>
            </w:r>
          </w:p>
        </w:tc>
      </w:tr>
      <w:tr>
        <w:trPr>
          <w:trHeight w:val="490"/>
        </w:trPr>
        <w:tc>
          <w:tcPr>
            <w:tcW w:w="6096"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個別指導後の受診回数、重複薬剤の減少した者の割合</w:t>
            </w:r>
          </w:p>
        </w:tc>
        <w:tc>
          <w:tcPr>
            <w:tcW w:w="3543" w:type="dxa"/>
            <w:tcBorders>
              <w:top w:val="single" w:sz="4" w:space="0" w:color="000000"/>
              <w:left w:val="single" w:sz="4" w:space="0" w:color="000000"/>
              <w:bottom w:val="single" w:sz="4" w:space="0" w:color="000000"/>
              <w:right w:val="single" w:sz="4" w:space="0" w:color="000000"/>
            </w:tcBorders>
          </w:tcPr>
          <w:p>
            <w:pPr>
              <w:jc w:val="center"/>
              <w:rPr>
                <w:rFonts w:ascii="ＭＳ ゴシック" w:eastAsia="ＭＳ ゴシック" w:hAnsi="ＭＳ ゴシック" w:cs="Meiryo UI"/>
                <w:color w:val="000000" w:themeColor="text1"/>
                <w:kern w:val="0"/>
                <w:sz w:val="22"/>
              </w:rPr>
            </w:pPr>
            <w:r>
              <w:rPr>
                <w:rFonts w:ascii="ＭＳ ゴシック" w:eastAsia="ＭＳ ゴシック" w:hAnsi="ＭＳ ゴシック" w:cs="Meiryo UI" w:hint="eastAsia"/>
                <w:color w:val="000000" w:themeColor="text1"/>
                <w:kern w:val="0"/>
                <w:sz w:val="22"/>
              </w:rPr>
              <w:t>100％</w:t>
            </w:r>
          </w:p>
        </w:tc>
      </w:tr>
    </w:tbl>
    <w:p>
      <w:pPr>
        <w:ind w:firstLineChars="100" w:firstLine="240"/>
        <w:rPr>
          <w:rFonts w:ascii="ＭＳ ゴシック" w:eastAsia="ＭＳ ゴシック" w:hAnsi="ＭＳ ゴシック" w:cs="Calibri"/>
          <w:bCs/>
          <w:color w:val="000000"/>
          <w:kern w:val="0"/>
          <w:sz w:val="24"/>
          <w:szCs w:val="24"/>
        </w:rPr>
      </w:pPr>
    </w:p>
    <w:p>
      <w:pPr>
        <w:ind w:firstLineChars="100" w:firstLine="240"/>
        <w:rPr>
          <w:rFonts w:ascii="ＭＳ ゴシック" w:eastAsia="ＭＳ ゴシック" w:hAnsi="ＭＳ ゴシック" w:cs="Calibri"/>
          <w:bCs/>
          <w:color w:val="000000"/>
          <w:kern w:val="0"/>
          <w:sz w:val="24"/>
          <w:szCs w:val="24"/>
        </w:rPr>
      </w:pPr>
      <w:r>
        <w:rPr>
          <w:rFonts w:ascii="ＭＳ ゴシック" w:eastAsia="ＭＳ ゴシック" w:hAnsi="ＭＳ ゴシック" w:cs="Calibri" w:hint="eastAsia"/>
          <w:bCs/>
          <w:color w:val="000000"/>
          <w:kern w:val="0"/>
          <w:sz w:val="24"/>
          <w:szCs w:val="24"/>
        </w:rPr>
        <w:t>②短期目標の評価と見直し（上段：目標値、下段：実績値）</w:t>
      </w:r>
    </w:p>
    <w:tbl>
      <w:tblPr>
        <w:tblStyle w:val="af5"/>
        <w:tblW w:w="9634" w:type="dxa"/>
        <w:tblLook w:val="04A0" w:firstRow="1" w:lastRow="0" w:firstColumn="1" w:lastColumn="0" w:noHBand="0" w:noVBand="1"/>
      </w:tblPr>
      <w:tblGrid>
        <w:gridCol w:w="3539"/>
        <w:gridCol w:w="1276"/>
        <w:gridCol w:w="1276"/>
        <w:gridCol w:w="2268"/>
        <w:gridCol w:w="1275"/>
      </w:tblGrid>
      <w:tr>
        <w:tc>
          <w:tcPr>
            <w:tcW w:w="3539" w:type="dxa"/>
          </w:tcPr>
          <w:p>
            <w:pPr>
              <w:jc w:val="center"/>
              <w:rPr>
                <w:rFonts w:ascii="ＭＳ ゴシック" w:eastAsia="ＭＳ ゴシック" w:hAnsi="ＭＳ ゴシック"/>
                <w:sz w:val="22"/>
              </w:rPr>
            </w:pPr>
            <w:r>
              <w:rPr>
                <w:rFonts w:ascii="ＭＳ ゴシック" w:eastAsia="ＭＳ ゴシック" w:hAnsi="ＭＳ ゴシック" w:hint="eastAsia"/>
                <w:sz w:val="22"/>
              </w:rPr>
              <w:t>指標</w:t>
            </w:r>
          </w:p>
        </w:tc>
        <w:tc>
          <w:tcPr>
            <w:tcW w:w="1276" w:type="dxa"/>
          </w:tcPr>
          <w:p>
            <w:pPr>
              <w:ind w:rightChars="-7" w:right="-15"/>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H30年度</w:t>
            </w:r>
          </w:p>
        </w:tc>
        <w:tc>
          <w:tcPr>
            <w:tcW w:w="1276"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R元年度</w:t>
            </w:r>
          </w:p>
        </w:tc>
        <w:tc>
          <w:tcPr>
            <w:tcW w:w="2268"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最終年度（R5年度）</w:t>
            </w:r>
          </w:p>
        </w:tc>
        <w:tc>
          <w:tcPr>
            <w:tcW w:w="1275" w:type="dxa"/>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達成状況</w:t>
            </w:r>
          </w:p>
        </w:tc>
      </w:tr>
      <w:tr>
        <w:tc>
          <w:tcPr>
            <w:tcW w:w="3539" w:type="dxa"/>
            <w:vMerge w:val="restart"/>
          </w:tcPr>
          <w:p>
            <w:pPr>
              <w:jc w:val="left"/>
              <w:rPr>
                <w:rFonts w:ascii="ＭＳ ゴシック" w:eastAsia="ＭＳ ゴシック" w:hAnsi="ＭＳ ゴシック"/>
                <w:sz w:val="22"/>
              </w:rPr>
            </w:pPr>
            <w:r>
              <w:rPr>
                <w:rFonts w:ascii="ＭＳ ゴシック" w:eastAsia="ＭＳ ゴシック" w:hAnsi="ＭＳ ゴシック" w:cs="Meiryo UI" w:hint="eastAsia"/>
                <w:color w:val="000000" w:themeColor="text1"/>
                <w:sz w:val="20"/>
                <w:szCs w:val="20"/>
              </w:rPr>
              <w:t>ジェネリック医薬品の数量シェア率</w:t>
            </w:r>
          </w:p>
        </w:tc>
        <w:tc>
          <w:tcPr>
            <w:tcW w:w="1276" w:type="dxa"/>
          </w:tcPr>
          <w:p>
            <w:pPr>
              <w:ind w:rightChars="-7" w:right="-15"/>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80％</w:t>
            </w:r>
          </w:p>
        </w:tc>
        <w:tc>
          <w:tcPr>
            <w:tcW w:w="1276"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80％</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80％</w:t>
            </w:r>
          </w:p>
        </w:tc>
        <w:tc>
          <w:tcPr>
            <w:tcW w:w="1275" w:type="dxa"/>
            <w:vMerge w:val="restart"/>
          </w:tcPr>
          <w:p>
            <w:pPr>
              <w:jc w:val="center"/>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達成</w:t>
            </w:r>
          </w:p>
        </w:tc>
      </w:tr>
      <w:tr>
        <w:trPr>
          <w:trHeight w:val="358"/>
        </w:trPr>
        <w:tc>
          <w:tcPr>
            <w:tcW w:w="3539" w:type="dxa"/>
            <w:vMerge/>
          </w:tcPr>
          <w:p>
            <w:pPr>
              <w:rPr>
                <w:rFonts w:ascii="ＭＳ ゴシック" w:eastAsia="ＭＳ ゴシック" w:hAnsi="ＭＳ ゴシック" w:cs="Meiryo UI"/>
                <w:sz w:val="22"/>
              </w:rPr>
            </w:pP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78.3％</w:t>
            </w:r>
          </w:p>
        </w:tc>
        <w:tc>
          <w:tcPr>
            <w:tcW w:w="1276" w:type="dxa"/>
          </w:tcPr>
          <w:p>
            <w:pPr>
              <w:jc w:val="right"/>
              <w:rPr>
                <w:rFonts w:ascii="ＭＳ ゴシック" w:eastAsia="ＭＳ ゴシック" w:hAnsi="ＭＳ ゴシック" w:cs="Meiryo UI"/>
                <w:sz w:val="22"/>
              </w:rPr>
            </w:pPr>
            <w:r>
              <w:rPr>
                <w:rFonts w:ascii="ＭＳ ゴシック" w:eastAsia="ＭＳ ゴシック" w:hAnsi="ＭＳ ゴシック" w:cs="Meiryo UI" w:hint="eastAsia"/>
                <w:sz w:val="22"/>
              </w:rPr>
              <w:t>81.2％</w:t>
            </w:r>
          </w:p>
        </w:tc>
        <w:tc>
          <w:tcPr>
            <w:tcW w:w="2268" w:type="dxa"/>
          </w:tcPr>
          <w:p>
            <w:pPr>
              <w:jc w:val="right"/>
              <w:rPr>
                <w:rFonts w:ascii="ＭＳ ゴシック" w:eastAsia="ＭＳ ゴシック" w:hAnsi="ＭＳ ゴシック" w:cs="Meiryo UI"/>
                <w:color w:val="000000" w:themeColor="text1"/>
                <w:sz w:val="22"/>
              </w:rPr>
            </w:pPr>
            <w:r>
              <w:rPr>
                <w:rFonts w:ascii="ＭＳ ゴシック" w:eastAsia="ＭＳ ゴシック" w:hAnsi="ＭＳ ゴシック" w:cs="Meiryo UI" w:hint="eastAsia"/>
                <w:color w:val="000000" w:themeColor="text1"/>
                <w:sz w:val="22"/>
              </w:rPr>
              <w:t>―</w:t>
            </w:r>
          </w:p>
        </w:tc>
        <w:tc>
          <w:tcPr>
            <w:tcW w:w="1275" w:type="dxa"/>
            <w:vMerge/>
          </w:tcPr>
          <w:p>
            <w:pPr>
              <w:jc w:val="center"/>
              <w:rPr>
                <w:rFonts w:ascii="ＭＳ ゴシック" w:eastAsia="ＭＳ ゴシック" w:hAnsi="ＭＳ ゴシック" w:cs="Meiryo UI"/>
                <w:color w:val="000000" w:themeColor="text1"/>
                <w:sz w:val="22"/>
              </w:rPr>
            </w:pPr>
          </w:p>
        </w:tc>
      </w:tr>
    </w:tbl>
    <w:p>
      <w:pPr>
        <w:ind w:firstLineChars="100" w:firstLine="240"/>
        <w:rPr>
          <w:rFonts w:ascii="ＭＳ ゴシック" w:eastAsia="ＭＳ ゴシック" w:hAnsi="ＭＳ ゴシック"/>
          <w:sz w:val="24"/>
          <w:szCs w:val="24"/>
        </w:rPr>
      </w:pPr>
    </w:p>
    <w:p>
      <w:pPr>
        <w:ind w:firstLineChars="100" w:firstLine="240"/>
        <w:rPr>
          <w:rFonts w:ascii="ＭＳ ゴシック" w:eastAsia="ＭＳ ゴシック" w:hAnsi="ＭＳ ゴシック" w:cs="Calibri"/>
          <w:bCs/>
          <w:color w:val="000000"/>
          <w:kern w:val="0"/>
          <w:sz w:val="24"/>
          <w:szCs w:val="24"/>
        </w:rPr>
      </w:pPr>
      <w:r>
        <w:rPr>
          <w:rFonts w:ascii="ＭＳ ゴシック" w:eastAsia="ＭＳ ゴシック" w:hAnsi="ＭＳ ゴシック" w:hint="eastAsia"/>
          <w:sz w:val="24"/>
          <w:szCs w:val="24"/>
        </w:rPr>
        <w:t>③達成</w:t>
      </w:r>
      <w:r>
        <w:rPr>
          <w:rFonts w:ascii="ＭＳ ゴシック" w:eastAsia="ＭＳ ゴシック" w:hAnsi="ＭＳ ゴシック"/>
          <w:sz w:val="24"/>
          <w:szCs w:val="24"/>
        </w:rPr>
        <w:t>、未達成要因及び事業の方向性</w:t>
      </w:r>
    </w:p>
    <w:tbl>
      <w:tblPr>
        <w:tblStyle w:val="af5"/>
        <w:tblW w:w="0" w:type="auto"/>
        <w:tblLook w:val="04A0" w:firstRow="1" w:lastRow="0" w:firstColumn="1" w:lastColumn="0" w:noHBand="0" w:noVBand="1"/>
      </w:tblPr>
      <w:tblGrid>
        <w:gridCol w:w="3209"/>
        <w:gridCol w:w="3209"/>
        <w:gridCol w:w="3210"/>
      </w:tblGrid>
      <w:tr>
        <w:tc>
          <w:tcPr>
            <w:tcW w:w="3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達成要因</w:t>
            </w:r>
          </w:p>
        </w:tc>
        <w:tc>
          <w:tcPr>
            <w:tcW w:w="32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未達成要因</w:t>
            </w:r>
          </w:p>
        </w:tc>
        <w:tc>
          <w:tcPr>
            <w:tcW w:w="32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事業の方向性</w:t>
            </w:r>
          </w:p>
        </w:tc>
      </w:tr>
      <w:tr>
        <w:tc>
          <w:tcPr>
            <w:tcW w:w="3209" w:type="dxa"/>
            <w:tcBorders>
              <w:top w:val="single" w:sz="4" w:space="0" w:color="000000"/>
              <w:left w:val="single" w:sz="4" w:space="0" w:color="000000"/>
              <w:bottom w:val="single" w:sz="4" w:space="0" w:color="000000"/>
              <w:right w:val="single" w:sz="4" w:space="0" w:color="000000"/>
            </w:tcBorders>
          </w:tcPr>
          <w:p>
            <w:pPr>
              <w:spacing w:line="220" w:lineRule="exact"/>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・計画どおり事業を実施することができた。</w:t>
            </w:r>
          </w:p>
        </w:tc>
        <w:tc>
          <w:tcPr>
            <w:tcW w:w="3209" w:type="dxa"/>
            <w:tcBorders>
              <w:top w:val="single" w:sz="4" w:space="0" w:color="000000"/>
              <w:left w:val="single" w:sz="4" w:space="0" w:color="000000"/>
              <w:bottom w:val="single" w:sz="4" w:space="0" w:color="000000"/>
              <w:right w:val="single" w:sz="4" w:space="0" w:color="000000"/>
            </w:tcBorders>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重複頻回受診、重複服薬の減少については、H30、R元年度に抽出した対象者に電話での健康相談を実施したが、受診状況・服薬状況に減少が見られなかった。対象者の疾患(整形外科・精神科)の特性から、行動変容につながりにくいと考えられる。</w:t>
            </w:r>
          </w:p>
        </w:tc>
        <w:tc>
          <w:tcPr>
            <w:tcW w:w="3210" w:type="dxa"/>
            <w:tcBorders>
              <w:top w:val="single" w:sz="4" w:space="0" w:color="000000"/>
              <w:left w:val="single" w:sz="4" w:space="0" w:color="000000"/>
              <w:bottom w:val="single" w:sz="4" w:space="0" w:color="000000"/>
              <w:right w:val="single" w:sz="4" w:space="0" w:color="000000"/>
            </w:tcBorders>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・ジェネリック医薬品利用差額通知は対象範囲を拡大して通知する。</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・全体での数量シェア率は、目標値に達しているが、R2年4月審査分の医科分が63.4％、調剤分が83.5％と医科分のシェア率が低いため、普及啓発を実施する。</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・埼玉県国民健康保険団体連合会と協働し、重複服薬、多剤投与者対策事業に取り組む。</w:t>
            </w:r>
          </w:p>
        </w:tc>
      </w:tr>
    </w:tbl>
    <w:p>
      <w:pPr>
        <w:ind w:firstLineChars="100" w:firstLine="240"/>
        <w:rPr>
          <w:rFonts w:ascii="ＭＳ ゴシック" w:eastAsia="ＭＳ ゴシック" w:hAnsi="ＭＳ ゴシック" w:cs="Meiryo UI"/>
          <w:color w:val="000000" w:themeColor="text1"/>
          <w:sz w:val="24"/>
          <w:szCs w:val="24"/>
        </w:rPr>
      </w:pPr>
    </w:p>
    <w:p>
      <w:pPr>
        <w:ind w:firstLineChars="100" w:firstLine="240"/>
        <w:rPr>
          <w:rFonts w:ascii="ＭＳ ゴシック" w:eastAsia="ＭＳ ゴシック" w:hAnsi="ＭＳ ゴシック" w:cs="Meiryo UI"/>
          <w:color w:val="000000" w:themeColor="text1"/>
          <w:sz w:val="24"/>
          <w:szCs w:val="24"/>
        </w:rPr>
      </w:pPr>
      <w:r>
        <w:rPr>
          <w:rFonts w:ascii="ＭＳ ゴシック" w:eastAsia="ＭＳ ゴシック" w:hAnsi="ＭＳ ゴシック" w:cs="Meiryo UI" w:hint="eastAsia"/>
          <w:color w:val="000000" w:themeColor="text1"/>
          <w:sz w:val="24"/>
          <w:szCs w:val="24"/>
        </w:rPr>
        <w:t>④②</w:t>
      </w:r>
      <w:r>
        <w:rPr>
          <w:rFonts w:ascii="ＭＳ ゴシック" w:eastAsia="ＭＳ ゴシック" w:hAnsi="ＭＳ ゴシック" w:cs="Meiryo UI"/>
          <w:color w:val="000000" w:themeColor="text1"/>
          <w:sz w:val="24"/>
          <w:szCs w:val="24"/>
        </w:rPr>
        <w:t>の</w:t>
      </w:r>
      <w:r>
        <w:rPr>
          <w:rFonts w:ascii="ＭＳ ゴシック" w:eastAsia="ＭＳ ゴシック" w:hAnsi="ＭＳ ゴシック" w:cs="Meiryo UI" w:hint="eastAsia"/>
          <w:color w:val="000000" w:themeColor="text1"/>
          <w:sz w:val="24"/>
          <w:szCs w:val="24"/>
        </w:rPr>
        <w:t>見直しの</w:t>
      </w:r>
      <w:r>
        <w:rPr>
          <w:rFonts w:ascii="ＭＳ ゴシック" w:eastAsia="ＭＳ ゴシック" w:hAnsi="ＭＳ ゴシック" w:cs="Meiryo UI"/>
          <w:color w:val="000000" w:themeColor="text1"/>
          <w:sz w:val="24"/>
          <w:szCs w:val="24"/>
        </w:rPr>
        <w:t>結果、実施する</w:t>
      </w:r>
      <w:r>
        <w:rPr>
          <w:rFonts w:ascii="ＭＳ ゴシック" w:eastAsia="ＭＳ ゴシック" w:hAnsi="ＭＳ ゴシック" w:cs="Meiryo UI" w:hint="eastAsia"/>
          <w:color w:val="000000" w:themeColor="text1"/>
          <w:sz w:val="24"/>
          <w:szCs w:val="24"/>
        </w:rPr>
        <w:t>内容</w:t>
      </w:r>
    </w:p>
    <w:tbl>
      <w:tblPr>
        <w:tblStyle w:val="6"/>
        <w:tblW w:w="0" w:type="auto"/>
        <w:tblLook w:val="04A0" w:firstRow="1" w:lastRow="0" w:firstColumn="1" w:lastColumn="0" w:noHBand="0" w:noVBand="1"/>
      </w:tblPr>
      <w:tblGrid>
        <w:gridCol w:w="1980"/>
        <w:gridCol w:w="7648"/>
      </w:tblGrid>
      <w:tr>
        <w:tc>
          <w:tcPr>
            <w:tcW w:w="9628"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実施内容</w:t>
            </w:r>
          </w:p>
        </w:tc>
      </w:tr>
      <w:t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ストラクチャー</w:t>
            </w:r>
          </w:p>
        </w:tc>
        <w:tc>
          <w:tcPr>
            <w:tcW w:w="7648" w:type="dxa"/>
          </w:tcPr>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・予算の確保</w:t>
            </w:r>
            <w:r>
              <w:rPr>
                <w:rFonts w:ascii="ＭＳ ゴシック" w:eastAsia="ＭＳ ゴシック" w:hAnsi="ＭＳ ゴシック" w:hint="eastAsia"/>
                <w:sz w:val="20"/>
                <w:szCs w:val="20"/>
              </w:rPr>
              <w:t>〈継続〉</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・保健指導従事者の確保</w:t>
            </w:r>
            <w:r>
              <w:rPr>
                <w:rFonts w:ascii="ＭＳ ゴシック" w:eastAsia="ＭＳ ゴシック" w:hAnsi="ＭＳ ゴシック" w:hint="eastAsia"/>
                <w:sz w:val="20"/>
                <w:szCs w:val="20"/>
              </w:rPr>
              <w:t>〈継続〉</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・保険年金課、保健センターの連携</w:t>
            </w:r>
            <w:r>
              <w:rPr>
                <w:rFonts w:ascii="ＭＳ ゴシック" w:eastAsia="ＭＳ ゴシック" w:hAnsi="ＭＳ ゴシック" w:hint="eastAsia"/>
                <w:sz w:val="20"/>
                <w:szCs w:val="20"/>
              </w:rPr>
              <w:t>〈継続〉</w:t>
            </w:r>
          </w:p>
          <w:p>
            <w:pPr>
              <w:rPr>
                <w:rFonts w:ascii="ＭＳ ゴシック" w:eastAsia="ＭＳ ゴシック" w:hAnsi="ＭＳ ゴシック"/>
                <w:sz w:val="20"/>
                <w:szCs w:val="20"/>
              </w:rPr>
            </w:pPr>
            <w:r>
              <w:rPr>
                <w:rFonts w:ascii="ＭＳ ゴシック" w:eastAsia="ＭＳ ゴシック" w:hAnsi="ＭＳ ゴシック" w:hint="eastAsia"/>
                <w:color w:val="000000" w:themeColor="text1"/>
                <w:sz w:val="20"/>
                <w:szCs w:val="20"/>
              </w:rPr>
              <w:t>・医師会、薬剤師会との連携</w:t>
            </w:r>
            <w:r>
              <w:rPr>
                <w:rFonts w:ascii="ＭＳ ゴシック" w:eastAsia="ＭＳ ゴシック" w:hAnsi="ＭＳ ゴシック" w:hint="eastAsia"/>
                <w:sz w:val="20"/>
                <w:szCs w:val="20"/>
              </w:rPr>
              <w:t>〈継続〉</w:t>
            </w:r>
          </w:p>
          <w:p>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・埼玉県国民健康保険団体連合会との連携〈新規〉</w:t>
            </w:r>
          </w:p>
        </w:tc>
      </w:tr>
      <w:tr>
        <w:trPr>
          <w:trHeight w:val="440"/>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プロセス</w:t>
            </w:r>
          </w:p>
        </w:tc>
        <w:tc>
          <w:tcPr>
            <w:tcW w:w="7648"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・重複・頻回受診、重複服薬指導マニュアルの見直し</w:t>
            </w:r>
            <w:r>
              <w:rPr>
                <w:rFonts w:ascii="ＭＳ ゴシック" w:eastAsia="ＭＳ ゴシック" w:hAnsi="ＭＳ ゴシック" w:hint="eastAsia"/>
                <w:sz w:val="20"/>
                <w:szCs w:val="20"/>
              </w:rPr>
              <w:t>〈継続〉</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・医師会、薬剤師会への事業周知及び協力依頼</w:t>
            </w:r>
            <w:r>
              <w:rPr>
                <w:rFonts w:ascii="ＭＳ ゴシック" w:eastAsia="ＭＳ ゴシック" w:hAnsi="ＭＳ ゴシック" w:hint="eastAsia"/>
                <w:sz w:val="20"/>
                <w:szCs w:val="20"/>
              </w:rPr>
              <w:t>〈継続〉</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・重複・頻回受診、重複服薬の対象者の抽出及び個別指導後の評価</w:t>
            </w:r>
            <w:r>
              <w:rPr>
                <w:rFonts w:ascii="ＭＳ ゴシック" w:eastAsia="ＭＳ ゴシック" w:hAnsi="ＭＳ ゴシック" w:hint="eastAsia"/>
                <w:sz w:val="20"/>
                <w:szCs w:val="20"/>
              </w:rPr>
              <w:t>〈継続〉</w:t>
            </w:r>
          </w:p>
        </w:tc>
      </w:tr>
    </w:tbl>
    <w:p>
      <w:pPr>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Meiryo UI"/>
          <w:color w:val="000000" w:themeColor="text1"/>
          <w:sz w:val="24"/>
          <w:szCs w:val="20"/>
        </w:rPr>
      </w:pPr>
    </w:p>
    <w:p>
      <w:pPr>
        <w:rPr>
          <w:rFonts w:ascii="ＭＳ ゴシック" w:eastAsia="ＭＳ ゴシック" w:hAnsi="ＭＳ ゴシック" w:cs="Meiryo UI"/>
          <w:color w:val="000000" w:themeColor="text1"/>
          <w:sz w:val="24"/>
          <w:szCs w:val="20"/>
        </w:rPr>
      </w:pPr>
    </w:p>
    <w:p>
      <w:pPr>
        <w:ind w:firstLineChars="100" w:firstLine="240"/>
        <w:rPr>
          <w:rFonts w:ascii="ＭＳ ゴシック" w:eastAsia="ＭＳ ゴシック" w:hAnsi="ＭＳ ゴシック" w:cs="Meiryo UI"/>
          <w:color w:val="000000" w:themeColor="text1"/>
          <w:sz w:val="24"/>
          <w:szCs w:val="20"/>
        </w:rPr>
      </w:pPr>
      <w:r>
        <w:rPr>
          <w:rFonts w:ascii="ＭＳ ゴシック" w:eastAsia="ＭＳ ゴシック" w:hAnsi="ＭＳ ゴシック" w:cs="Meiryo UI" w:hint="eastAsia"/>
          <w:color w:val="000000" w:themeColor="text1"/>
          <w:sz w:val="24"/>
          <w:szCs w:val="20"/>
        </w:rPr>
        <w:lastRenderedPageBreak/>
        <w:t>⑤具体的な事業実施</w:t>
      </w:r>
      <w:r>
        <w:rPr>
          <w:rFonts w:ascii="ＭＳ ゴシック" w:eastAsia="ＭＳ ゴシック" w:hAnsi="ＭＳ ゴシック" w:cs="Meiryo UI"/>
          <w:color w:val="000000" w:themeColor="text1"/>
          <w:sz w:val="24"/>
          <w:szCs w:val="20"/>
        </w:rPr>
        <w:t>内容</w:t>
      </w:r>
    </w:p>
    <w:tbl>
      <w:tblPr>
        <w:tblStyle w:val="7"/>
        <w:tblW w:w="9634" w:type="dxa"/>
        <w:tblLook w:val="04A0" w:firstRow="1" w:lastRow="0" w:firstColumn="1" w:lastColumn="0" w:noHBand="0" w:noVBand="1"/>
      </w:tblPr>
      <w:tblGrid>
        <w:gridCol w:w="1980"/>
        <w:gridCol w:w="7654"/>
      </w:tblGrid>
      <w:tr>
        <w:tc>
          <w:tcPr>
            <w:tcW w:w="9634" w:type="dxa"/>
            <w:gridSpan w:val="2"/>
            <w:shd w:val="clear" w:color="auto" w:fill="D9D9D9" w:themeFill="background1" w:themeFillShade="D9"/>
            <w:vAlign w:val="center"/>
          </w:tcPr>
          <w:p>
            <w:pPr>
              <w:jc w:val="cente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実施内容</w:t>
            </w:r>
          </w:p>
        </w:tc>
      </w:tr>
      <w:tr>
        <w:trPr>
          <w:trHeight w:val="840"/>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普及啓発</w:t>
            </w:r>
          </w:p>
        </w:tc>
        <w:tc>
          <w:tcPr>
            <w:tcW w:w="7654"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〈対象〉全被保険者</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〈方法〉医療費通知の発送、ジェネリック医薬品移行勧奨、医療費適正化啓発</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・2ヶ月に1回：医療費通知発送</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・年2回：ジェネリック医薬品利用差額通知発送</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・通年：窓口や保険証の一斉更新通知時における適正化啓発</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・医師会、薬剤師会等へのジェネリック医薬品のシェア率・効果額の報告</w:t>
            </w:r>
          </w:p>
        </w:tc>
      </w:tr>
      <w:tr>
        <w:trPr>
          <w:trHeight w:val="1609"/>
        </w:trPr>
        <w:tc>
          <w:tcPr>
            <w:tcW w:w="1980"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重複・頻回受診、重複服薬の減少</w:t>
            </w:r>
          </w:p>
        </w:tc>
        <w:tc>
          <w:tcPr>
            <w:tcW w:w="7654" w:type="dxa"/>
          </w:tcPr>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〈対象〉同一疾患で重複・頻回受診者、重複服薬者</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〈方法〉個別指導（電話、訪問）</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〈時期〉随時</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〈スケジュール〉</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・対象者の抽出基準の検討</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・指導マニュアルの見直し</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・個別指導</w:t>
            </w:r>
          </w:p>
          <w:p>
            <w:pPr>
              <w:rPr>
                <w:rFonts w:ascii="ＭＳ ゴシック" w:eastAsia="ＭＳ ゴシック" w:hAnsi="ＭＳ ゴシック" w:cs="Meiryo UI"/>
                <w:color w:val="000000" w:themeColor="text1"/>
                <w:sz w:val="20"/>
                <w:szCs w:val="20"/>
              </w:rPr>
            </w:pPr>
            <w:r>
              <w:rPr>
                <w:rFonts w:ascii="ＭＳ ゴシック" w:eastAsia="ＭＳ ゴシック" w:hAnsi="ＭＳ ゴシック" w:cs="Meiryo UI" w:hint="eastAsia"/>
                <w:color w:val="000000" w:themeColor="text1"/>
                <w:sz w:val="20"/>
                <w:szCs w:val="20"/>
              </w:rPr>
              <w:t>・個別指導実施後の評価（レセプトの確認）</w:t>
            </w:r>
          </w:p>
        </w:tc>
      </w:tr>
    </w:tbl>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color w:val="000000" w:themeColor="text1"/>
          <w:sz w:val="24"/>
          <w:szCs w:val="24"/>
        </w:rPr>
      </w:pPr>
    </w:p>
    <w:p>
      <w:pPr>
        <w:rPr>
          <w:rFonts w:asciiTheme="majorEastAsia" w:eastAsiaTheme="majorEastAsia" w:hAnsiTheme="majorEastAsia" w:cs="Meiryo UI"/>
          <w:b/>
          <w:sz w:val="24"/>
          <w:szCs w:val="24"/>
        </w:rPr>
      </w:pPr>
      <w:r>
        <w:rPr>
          <w:rFonts w:ascii="ＭＳ ゴシック" w:eastAsia="ＭＳ ゴシック" w:hAnsi="ＭＳ ゴシック" w:hint="eastAsia"/>
          <w:b/>
          <w:sz w:val="28"/>
        </w:rPr>
        <w:lastRenderedPageBreak/>
        <w:t>６</w:t>
      </w:r>
      <w:r>
        <w:rPr>
          <w:rFonts w:ascii="ＭＳ ゴシック" w:eastAsia="ＭＳ ゴシック" w:hAnsi="ＭＳ ゴシック"/>
          <w:b/>
          <w:color w:val="FF0000"/>
          <w:sz w:val="28"/>
        </w:rPr>
        <w:t xml:space="preserve">　</w:t>
      </w:r>
      <w:r>
        <w:rPr>
          <w:rFonts w:ascii="ＭＳ ゴシック" w:eastAsia="ＭＳ ゴシック" w:hAnsi="ＭＳ ゴシック" w:hint="eastAsia"/>
          <w:b/>
          <w:sz w:val="28"/>
        </w:rPr>
        <w:t>全体の計画の評価と見直し</w:t>
      </w:r>
      <w:r>
        <w:rPr>
          <w:rFonts w:asciiTheme="majorEastAsia" w:eastAsiaTheme="majorEastAsia" w:hAnsiTheme="majorEastAsia" w:cs="Meiryo UI" w:hint="eastAsia"/>
          <w:b/>
          <w:sz w:val="24"/>
          <w:szCs w:val="24"/>
        </w:rPr>
        <w:t xml:space="preserve">　　</w:t>
      </w:r>
    </w:p>
    <w:p>
      <w:pPr>
        <w:rPr>
          <w:rFonts w:asciiTheme="majorEastAsia" w:eastAsiaTheme="majorEastAsia" w:hAnsiTheme="majorEastAsia" w:cs="Meiryo UI"/>
          <w:sz w:val="24"/>
          <w:szCs w:val="24"/>
        </w:rPr>
      </w:pPr>
      <w:r>
        <w:rPr>
          <w:rFonts w:asciiTheme="majorEastAsia" w:eastAsiaTheme="majorEastAsia" w:hAnsiTheme="majorEastAsia" w:cs="Meiryo UI" w:hint="eastAsia"/>
          <w:sz w:val="24"/>
          <w:szCs w:val="24"/>
        </w:rPr>
        <w:t>（１）計画全体の評価</w:t>
      </w:r>
    </w:p>
    <w:tbl>
      <w:tblPr>
        <w:tblStyle w:val="af5"/>
        <w:tblW w:w="9676" w:type="dxa"/>
        <w:tblInd w:w="100" w:type="dxa"/>
        <w:tblLook w:val="04A0" w:firstRow="1" w:lastRow="0" w:firstColumn="1" w:lastColumn="0" w:noHBand="0" w:noVBand="1"/>
      </w:tblPr>
      <w:tblGrid>
        <w:gridCol w:w="2163"/>
        <w:gridCol w:w="7513"/>
      </w:tblGrid>
      <w:tr>
        <w:tc>
          <w:tcPr>
            <w:tcW w:w="2163" w:type="dxa"/>
          </w:tcPr>
          <w:p>
            <w:pPr>
              <w:jc w:val="center"/>
              <w:rPr>
                <w:rFonts w:ascii="ＭＳ ゴシック" w:eastAsia="ＭＳ ゴシック" w:hAnsi="ＭＳ ゴシック"/>
                <w:sz w:val="22"/>
              </w:rPr>
            </w:pPr>
            <w:r>
              <w:rPr>
                <w:rFonts w:ascii="ＭＳ ゴシック" w:eastAsia="ＭＳ ゴシック" w:hAnsi="ＭＳ ゴシック" w:hint="eastAsia"/>
                <w:sz w:val="22"/>
              </w:rPr>
              <w:t>項目</w:t>
            </w:r>
          </w:p>
        </w:tc>
        <w:tc>
          <w:tcPr>
            <w:tcW w:w="7513" w:type="dxa"/>
          </w:tcPr>
          <w:p>
            <w:pPr>
              <w:jc w:val="center"/>
              <w:rPr>
                <w:rFonts w:ascii="ＭＳ ゴシック" w:eastAsia="ＭＳ ゴシック" w:hAnsi="ＭＳ ゴシック"/>
                <w:sz w:val="22"/>
              </w:rPr>
            </w:pPr>
            <w:r>
              <w:rPr>
                <w:rFonts w:ascii="ＭＳ ゴシック" w:eastAsia="ＭＳ ゴシック" w:hAnsi="ＭＳ ゴシック" w:hint="eastAsia"/>
                <w:sz w:val="22"/>
              </w:rPr>
              <w:t>評価</w:t>
            </w:r>
          </w:p>
        </w:tc>
      </w:tr>
      <w:tr>
        <w:tc>
          <w:tcPr>
            <w:tcW w:w="2163" w:type="dxa"/>
          </w:tcPr>
          <w:p>
            <w:pPr>
              <w:rPr>
                <w:rFonts w:ascii="ＭＳ ゴシック" w:eastAsia="ＭＳ ゴシック" w:hAnsi="ＭＳ ゴシック"/>
                <w:sz w:val="22"/>
              </w:rPr>
            </w:pPr>
            <w:r>
              <w:rPr>
                <w:rFonts w:ascii="ＭＳ ゴシック" w:eastAsia="ＭＳ ゴシック" w:hAnsi="ＭＳ ゴシック" w:hint="eastAsia"/>
                <w:sz w:val="22"/>
              </w:rPr>
              <w:t>健康課題の把握</w:t>
            </w:r>
          </w:p>
          <w:p>
            <w:pPr>
              <w:rPr>
                <w:rFonts w:ascii="ＭＳ ゴシック" w:eastAsia="ＭＳ ゴシック" w:hAnsi="ＭＳ ゴシック"/>
                <w:sz w:val="22"/>
              </w:rPr>
            </w:pPr>
          </w:p>
        </w:tc>
        <w:tc>
          <w:tcPr>
            <w:tcW w:w="7513" w:type="dxa"/>
          </w:tcPr>
          <w:p>
            <w:pPr>
              <w:rPr>
                <w:rFonts w:ascii="ＭＳ ゴシック" w:eastAsia="ＭＳ ゴシック" w:hAnsi="ＭＳ ゴシック"/>
                <w:sz w:val="22"/>
              </w:rPr>
            </w:pPr>
            <w:r>
              <w:rPr>
                <w:rFonts w:ascii="ＭＳ ゴシック" w:eastAsia="ＭＳ ゴシック" w:hAnsi="ＭＳ ゴシック" w:hint="eastAsia"/>
                <w:sz w:val="22"/>
              </w:rPr>
              <w:t>・男性、女性ともに平均</w:t>
            </w:r>
            <w:r>
              <w:rPr>
                <w:rFonts w:ascii="ＭＳ ゴシック" w:eastAsia="ＭＳ ゴシック" w:hAnsi="ＭＳ ゴシック"/>
                <w:sz w:val="22"/>
              </w:rPr>
              <w:t>寿命</w:t>
            </w:r>
            <w:r>
              <w:rPr>
                <w:rFonts w:ascii="ＭＳ ゴシック" w:eastAsia="ＭＳ ゴシック" w:hAnsi="ＭＳ ゴシック" w:hint="eastAsia"/>
                <w:sz w:val="22"/>
              </w:rPr>
              <w:t>が延伸</w:t>
            </w:r>
            <w:r>
              <w:rPr>
                <w:rFonts w:ascii="ＭＳ ゴシック" w:eastAsia="ＭＳ ゴシック" w:hAnsi="ＭＳ ゴシック"/>
                <w:sz w:val="22"/>
              </w:rPr>
              <w:t>。</w:t>
            </w:r>
            <w:r>
              <w:rPr>
                <w:rFonts w:ascii="ＭＳ ゴシック" w:eastAsia="ＭＳ ゴシック" w:hAnsi="ＭＳ ゴシック" w:hint="eastAsia"/>
                <w:sz w:val="22"/>
              </w:rPr>
              <w:t>【図1】</w:t>
            </w:r>
          </w:p>
          <w:p>
            <w:pPr>
              <w:rPr>
                <w:rFonts w:ascii="ＭＳ ゴシック" w:eastAsia="ＭＳ ゴシック" w:hAnsi="ＭＳ ゴシック"/>
                <w:sz w:val="22"/>
              </w:rPr>
            </w:pPr>
            <w:r>
              <w:rPr>
                <w:rFonts w:ascii="ＭＳ ゴシック" w:eastAsia="ＭＳ ゴシック" w:hAnsi="ＭＳ ゴシック" w:hint="eastAsia"/>
                <w:sz w:val="22"/>
              </w:rPr>
              <w:t>・女性の悪性新生物の標準化死亡比が増加。【図3-2】</w:t>
            </w:r>
          </w:p>
          <w:p>
            <w:pPr>
              <w:rPr>
                <w:rFonts w:ascii="ＭＳ ゴシック" w:eastAsia="ＭＳ ゴシック" w:hAnsi="ＭＳ ゴシック"/>
                <w:sz w:val="22"/>
              </w:rPr>
            </w:pPr>
            <w:r>
              <w:rPr>
                <w:rFonts w:ascii="ＭＳ ゴシック" w:eastAsia="ＭＳ ゴシック" w:hAnsi="ＭＳ ゴシック" w:hint="eastAsia"/>
                <w:sz w:val="22"/>
              </w:rPr>
              <w:t>・女性の心筋梗塞の標準化死亡比が増加。【図3-2】</w:t>
            </w:r>
          </w:p>
          <w:p>
            <w:pPr>
              <w:ind w:left="220" w:hangingChars="100" w:hanging="220"/>
              <w:rPr>
                <w:rFonts w:ascii="ＭＳ ゴシック" w:eastAsia="ＭＳ ゴシック" w:hAnsi="ＭＳ ゴシック"/>
                <w:sz w:val="22"/>
              </w:rPr>
            </w:pPr>
            <w:r>
              <w:rPr>
                <w:rFonts w:ascii="ＭＳ ゴシック" w:eastAsia="ＭＳ ゴシック" w:hAnsi="ＭＳ ゴシック" w:hint="eastAsia"/>
                <w:sz w:val="22"/>
              </w:rPr>
              <w:t>・心筋梗塞の１人当たりの医療費が増加。【図9】</w:t>
            </w:r>
          </w:p>
          <w:p>
            <w:pPr>
              <w:rPr>
                <w:rFonts w:ascii="ＭＳ ゴシック" w:eastAsia="ＭＳ ゴシック" w:hAnsi="ＭＳ ゴシック"/>
                <w:sz w:val="22"/>
              </w:rPr>
            </w:pPr>
            <w:r>
              <w:rPr>
                <w:rFonts w:ascii="ＭＳ ゴシック" w:eastAsia="ＭＳ ゴシック" w:hAnsi="ＭＳ ゴシック" w:hint="eastAsia"/>
                <w:sz w:val="22"/>
              </w:rPr>
              <w:t>・人工透析の患者数が増加。【図10】</w:t>
            </w:r>
          </w:p>
          <w:p>
            <w:pPr>
              <w:rPr>
                <w:rFonts w:ascii="ＭＳ ゴシック" w:eastAsia="ＭＳ ゴシック" w:hAnsi="ＭＳ ゴシック"/>
                <w:sz w:val="22"/>
              </w:rPr>
            </w:pPr>
            <w:r>
              <w:rPr>
                <w:rFonts w:ascii="ＭＳ ゴシック" w:eastAsia="ＭＳ ゴシック" w:hAnsi="ＭＳ ゴシック" w:hint="eastAsia"/>
                <w:sz w:val="22"/>
              </w:rPr>
              <w:t>・特定健康診査受診率、特定保健指導実施率が上昇。【図5、7】</w:t>
            </w:r>
          </w:p>
          <w:p>
            <w:pPr>
              <w:rPr>
                <w:rFonts w:ascii="ＭＳ ゴシック" w:eastAsia="ＭＳ ゴシック" w:hAnsi="ＭＳ ゴシック"/>
                <w:sz w:val="22"/>
              </w:rPr>
            </w:pPr>
            <w:r>
              <w:rPr>
                <w:rFonts w:ascii="ＭＳ ゴシック" w:eastAsia="ＭＳ ゴシック" w:hAnsi="ＭＳ ゴシック" w:hint="eastAsia"/>
                <w:sz w:val="22"/>
              </w:rPr>
              <w:t>・内臓脂肪症候群の割合が増加、内臓脂肪症候群予備群の割合減少。</w:t>
            </w:r>
          </w:p>
          <w:p>
            <w:pPr>
              <w:rPr>
                <w:rFonts w:ascii="ＭＳ ゴシック" w:eastAsia="ＭＳ ゴシック" w:hAnsi="ＭＳ ゴシック"/>
                <w:sz w:val="22"/>
              </w:rPr>
            </w:pPr>
            <w:r>
              <w:rPr>
                <w:rFonts w:ascii="ＭＳ ゴシック" w:eastAsia="ＭＳ ゴシック" w:hAnsi="ＭＳ ゴシック" w:hint="eastAsia"/>
                <w:sz w:val="22"/>
              </w:rPr>
              <w:t>・男性のＬＤＬコレステロール有所見者の状況が減少。【図6】</w:t>
            </w:r>
          </w:p>
          <w:p>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・要介護認定率（第1</w:t>
            </w:r>
            <w:r>
              <w:rPr>
                <w:rFonts w:ascii="ＭＳ ゴシック" w:eastAsia="ＭＳ ゴシック" w:hAnsi="ＭＳ ゴシック"/>
                <w:color w:val="000000" w:themeColor="text1"/>
                <w:sz w:val="22"/>
              </w:rPr>
              <w:t>号</w:t>
            </w:r>
            <w:r>
              <w:rPr>
                <w:rFonts w:ascii="ＭＳ ゴシック" w:eastAsia="ＭＳ ゴシック" w:hAnsi="ＭＳ ゴシック" w:hint="eastAsia"/>
                <w:color w:val="000000" w:themeColor="text1"/>
                <w:sz w:val="22"/>
              </w:rPr>
              <w:t>被保険者）が増加傾向。【図11】</w:t>
            </w:r>
          </w:p>
          <w:p>
            <w:pPr>
              <w:rPr>
                <w:rFonts w:ascii="ＭＳ ゴシック" w:eastAsia="ＭＳ ゴシック" w:hAnsi="ＭＳ ゴシック"/>
                <w:sz w:val="22"/>
              </w:rPr>
            </w:pPr>
            <w:r>
              <w:rPr>
                <w:rFonts w:ascii="ＭＳ ゴシック" w:eastAsia="ＭＳ ゴシック" w:hAnsi="ＭＳ ゴシック" w:hint="eastAsia"/>
                <w:color w:val="000000" w:themeColor="text1"/>
                <w:sz w:val="22"/>
              </w:rPr>
              <w:t>・１人当たり介護保険給付費が</w:t>
            </w:r>
            <w:r>
              <w:rPr>
                <w:rFonts w:ascii="ＭＳ ゴシック" w:eastAsia="ＭＳ ゴシック" w:hAnsi="ＭＳ ゴシック"/>
                <w:color w:val="000000" w:themeColor="text1"/>
                <w:sz w:val="22"/>
              </w:rPr>
              <w:t>増加</w:t>
            </w:r>
            <w:r>
              <w:rPr>
                <w:rFonts w:ascii="ＭＳ ゴシック" w:eastAsia="ＭＳ ゴシック" w:hAnsi="ＭＳ ゴシック" w:hint="eastAsia"/>
                <w:color w:val="000000" w:themeColor="text1"/>
                <w:sz w:val="22"/>
              </w:rPr>
              <w:t>傾向</w:t>
            </w:r>
            <w:r>
              <w:rPr>
                <w:rFonts w:ascii="ＭＳ ゴシック" w:eastAsia="ＭＳ ゴシック" w:hAnsi="ＭＳ ゴシック"/>
                <w:color w:val="000000" w:themeColor="text1"/>
                <w:sz w:val="22"/>
              </w:rPr>
              <w:t>。</w:t>
            </w:r>
            <w:r>
              <w:rPr>
                <w:rFonts w:ascii="ＭＳ ゴシック" w:eastAsia="ＭＳ ゴシック" w:hAnsi="ＭＳ ゴシック" w:hint="eastAsia"/>
                <w:color w:val="000000" w:themeColor="text1"/>
                <w:sz w:val="22"/>
              </w:rPr>
              <w:t>【図12】</w:t>
            </w:r>
          </w:p>
        </w:tc>
      </w:tr>
      <w:tr>
        <w:tc>
          <w:tcPr>
            <w:tcW w:w="2163" w:type="dxa"/>
          </w:tcPr>
          <w:p>
            <w:pPr>
              <w:rPr>
                <w:rFonts w:ascii="ＭＳ ゴシック" w:eastAsia="ＭＳ ゴシック" w:hAnsi="ＭＳ ゴシック"/>
                <w:color w:val="FF0000"/>
                <w:sz w:val="22"/>
              </w:rPr>
            </w:pPr>
            <w:r>
              <w:rPr>
                <w:rFonts w:ascii="ＭＳ ゴシック" w:eastAsia="ＭＳ ゴシック" w:hAnsi="ＭＳ ゴシック" w:hint="eastAsia"/>
                <w:color w:val="000000" w:themeColor="text1"/>
                <w:sz w:val="22"/>
              </w:rPr>
              <w:t>個別</w:t>
            </w:r>
            <w:r>
              <w:rPr>
                <w:rFonts w:ascii="ＭＳ ゴシック" w:eastAsia="ＭＳ ゴシック" w:hAnsi="ＭＳ ゴシック"/>
                <w:color w:val="000000" w:themeColor="text1"/>
                <w:sz w:val="22"/>
              </w:rPr>
              <w:t>保健事業からみた評価</w:t>
            </w:r>
          </w:p>
        </w:tc>
        <w:tc>
          <w:tcPr>
            <w:tcW w:w="7513" w:type="dxa"/>
          </w:tcPr>
          <w:p>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・庁内及び医師会等関係機関と連携し、円滑に事業を実施することができた。</w:t>
            </w:r>
          </w:p>
          <w:p>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・特定健康診査は受診率の目標値を達成した。</w:t>
            </w:r>
          </w:p>
          <w:p>
            <w:pPr>
              <w:rPr>
                <w:rFonts w:ascii="ＭＳ ゴシック" w:eastAsia="ＭＳ ゴシック" w:hAnsi="ＭＳ ゴシック"/>
                <w:color w:val="000000" w:themeColor="text1"/>
                <w:sz w:val="22"/>
              </w:rPr>
            </w:pPr>
            <w:r>
              <w:rPr>
                <w:rFonts w:ascii="ＭＳ ゴシック" w:eastAsia="ＭＳ ゴシック" w:hAnsi="ＭＳ ゴシック" w:hint="eastAsia"/>
                <w:color w:val="000000" w:themeColor="text1"/>
                <w:sz w:val="22"/>
              </w:rPr>
              <w:t>・特定保健指導の実施率は平成28年度と比較して上昇</w:t>
            </w:r>
            <w:r>
              <w:rPr>
                <w:rFonts w:ascii="ＭＳ ゴシック" w:eastAsia="ＭＳ ゴシック" w:hAnsi="ＭＳ ゴシック"/>
                <w:color w:val="000000" w:themeColor="text1"/>
                <w:sz w:val="22"/>
              </w:rPr>
              <w:t>している</w:t>
            </w:r>
            <w:r>
              <w:rPr>
                <w:rFonts w:ascii="ＭＳ ゴシック" w:eastAsia="ＭＳ ゴシック" w:hAnsi="ＭＳ ゴシック" w:hint="eastAsia"/>
                <w:color w:val="000000" w:themeColor="text1"/>
                <w:sz w:val="22"/>
              </w:rPr>
              <w:t>が、目標値を達成していない。</w:t>
            </w:r>
          </w:p>
          <w:p>
            <w:pPr>
              <w:rPr>
                <w:rFonts w:ascii="ＭＳ ゴシック" w:eastAsia="ＭＳ ゴシック" w:hAnsi="ＭＳ ゴシック"/>
                <w:sz w:val="22"/>
              </w:rPr>
            </w:pPr>
            <w:r>
              <w:rPr>
                <w:rFonts w:ascii="ＭＳ ゴシック" w:eastAsia="ＭＳ ゴシック" w:hAnsi="ＭＳ ゴシック" w:hint="eastAsia"/>
                <w:sz w:val="22"/>
              </w:rPr>
              <w:t>・生活習慣病重症化予防対策事業の保健指導修了者の透析移行者数は目標値を達成した。</w:t>
            </w:r>
          </w:p>
          <w:p>
            <w:pPr>
              <w:rPr>
                <w:rFonts w:ascii="ＭＳ ゴシック" w:eastAsia="ＭＳ ゴシック" w:hAnsi="ＭＳ ゴシック"/>
                <w:sz w:val="22"/>
              </w:rPr>
            </w:pPr>
            <w:r>
              <w:rPr>
                <w:rFonts w:ascii="ＭＳ ゴシック" w:eastAsia="ＭＳ ゴシック" w:hAnsi="ＭＳ ゴシック" w:hint="eastAsia"/>
                <w:sz w:val="22"/>
              </w:rPr>
              <w:t>・特定健康診査受診者の中で血中脂質（LDLコレステロール値）が受診勧奨値以上の者の割合は、目標値を達成していない。</w:t>
            </w:r>
          </w:p>
          <w:p>
            <w:pPr>
              <w:rPr>
                <w:rFonts w:ascii="ＭＳ ゴシック" w:eastAsia="ＭＳ ゴシック" w:hAnsi="ＭＳ ゴシック"/>
                <w:sz w:val="22"/>
              </w:rPr>
            </w:pPr>
            <w:r>
              <w:rPr>
                <w:rFonts w:ascii="ＭＳ ゴシック" w:eastAsia="ＭＳ ゴシック" w:hAnsi="ＭＳ ゴシック" w:hint="eastAsia"/>
                <w:sz w:val="22"/>
              </w:rPr>
              <w:t>・ジェネリック医薬品数量シェア率は、目標値を達成した。</w:t>
            </w:r>
          </w:p>
        </w:tc>
      </w:tr>
    </w:tbl>
    <w:p>
      <w:pPr>
        <w:rPr>
          <w:rFonts w:asciiTheme="majorEastAsia" w:eastAsiaTheme="majorEastAsia" w:hAnsiTheme="majorEastAsia" w:cs="Meiryo UI"/>
          <w:sz w:val="24"/>
          <w:szCs w:val="24"/>
        </w:rPr>
      </w:pPr>
    </w:p>
    <w:p>
      <w:pPr>
        <w:rPr>
          <w:rFonts w:asciiTheme="majorEastAsia" w:eastAsiaTheme="majorEastAsia" w:hAnsiTheme="majorEastAsia" w:cs="Meiryo UI"/>
          <w:sz w:val="24"/>
          <w:szCs w:val="24"/>
        </w:rPr>
      </w:pPr>
      <w:r>
        <w:rPr>
          <w:rFonts w:asciiTheme="majorEastAsia" w:eastAsiaTheme="majorEastAsia" w:hAnsiTheme="majorEastAsia" w:cs="Meiryo UI" w:hint="eastAsia"/>
          <w:sz w:val="24"/>
          <w:szCs w:val="24"/>
        </w:rPr>
        <w:t>（２）主な</w:t>
      </w:r>
      <w:r>
        <w:rPr>
          <w:rFonts w:asciiTheme="majorEastAsia" w:eastAsiaTheme="majorEastAsia" w:hAnsiTheme="majorEastAsia" w:cs="Meiryo UI"/>
          <w:sz w:val="24"/>
          <w:szCs w:val="24"/>
        </w:rPr>
        <w:t>見直し内容</w:t>
      </w:r>
    </w:p>
    <w:tbl>
      <w:tblPr>
        <w:tblStyle w:val="af5"/>
        <w:tblW w:w="9676" w:type="dxa"/>
        <w:tblInd w:w="100" w:type="dxa"/>
        <w:tblLook w:val="04A0" w:firstRow="1" w:lastRow="0" w:firstColumn="1" w:lastColumn="0" w:noHBand="0" w:noVBand="1"/>
      </w:tblPr>
      <w:tblGrid>
        <w:gridCol w:w="2163"/>
        <w:gridCol w:w="7513"/>
      </w:tblGrid>
      <w:tr>
        <w:tc>
          <w:tcPr>
            <w:tcW w:w="2163" w:type="dxa"/>
          </w:tcPr>
          <w:p>
            <w:pPr>
              <w:rPr>
                <w:rFonts w:ascii="ＭＳ ゴシック" w:eastAsia="ＭＳ ゴシック" w:hAnsi="ＭＳ ゴシック"/>
                <w:sz w:val="22"/>
              </w:rPr>
            </w:pPr>
            <w:r>
              <w:rPr>
                <w:rFonts w:ascii="ＭＳ ゴシック" w:eastAsia="ＭＳ ゴシック" w:hAnsi="ＭＳ ゴシック" w:hint="eastAsia"/>
                <w:sz w:val="22"/>
              </w:rPr>
              <w:t>主な見直し内容と</w:t>
            </w:r>
          </w:p>
          <w:p>
            <w:pPr>
              <w:rPr>
                <w:rFonts w:ascii="ＭＳ ゴシック" w:eastAsia="ＭＳ ゴシック" w:hAnsi="ＭＳ ゴシック"/>
                <w:sz w:val="22"/>
              </w:rPr>
            </w:pPr>
            <w:r>
              <w:rPr>
                <w:rFonts w:ascii="ＭＳ ゴシック" w:eastAsia="ＭＳ ゴシック" w:hAnsi="ＭＳ ゴシック" w:hint="eastAsia"/>
                <w:sz w:val="22"/>
              </w:rPr>
              <w:t>今後の方向性</w:t>
            </w:r>
          </w:p>
        </w:tc>
        <w:tc>
          <w:tcPr>
            <w:tcW w:w="7513" w:type="dxa"/>
          </w:tcPr>
          <w:p>
            <w:pPr>
              <w:rPr>
                <w:rFonts w:ascii="ＭＳ ゴシック" w:eastAsia="ＭＳ ゴシック" w:hAnsi="ＭＳ ゴシック"/>
                <w:sz w:val="22"/>
              </w:rPr>
            </w:pPr>
            <w:r>
              <w:rPr>
                <w:rFonts w:ascii="ＭＳ ゴシック" w:eastAsia="ＭＳ ゴシック" w:hAnsi="ＭＳ ゴシック" w:hint="eastAsia"/>
                <w:sz w:val="22"/>
              </w:rPr>
              <w:t>・特定健康診査受診率向上対策事業は、年齢や対象者を絞って勧奨通知を送付するのではなく、対象者の特性に応じて全員に送付することで、受診率の向上を図る。</w:t>
            </w:r>
          </w:p>
          <w:p>
            <w:pPr>
              <w:rPr>
                <w:rFonts w:ascii="ＭＳ ゴシック" w:eastAsia="ＭＳ ゴシック" w:hAnsi="ＭＳ ゴシック"/>
                <w:sz w:val="22"/>
              </w:rPr>
            </w:pPr>
            <w:r>
              <w:rPr>
                <w:rFonts w:ascii="ＭＳ ゴシック" w:eastAsia="ＭＳ ゴシック" w:hAnsi="ＭＳ ゴシック" w:hint="eastAsia"/>
                <w:sz w:val="22"/>
              </w:rPr>
              <w:t>・特定保健指導実施率向上対策事業は、特定保健指導委託医療機関等数を増やす。</w:t>
            </w:r>
          </w:p>
          <w:p>
            <w:pPr>
              <w:rPr>
                <w:rFonts w:ascii="ＭＳ ゴシック" w:eastAsia="ＭＳ ゴシック" w:hAnsi="ＭＳ ゴシック"/>
                <w:sz w:val="22"/>
              </w:rPr>
            </w:pPr>
            <w:r>
              <w:rPr>
                <w:rFonts w:ascii="ＭＳ ゴシック" w:eastAsia="ＭＳ ゴシック" w:hAnsi="ＭＳ ゴシック" w:hint="eastAsia"/>
                <w:sz w:val="22"/>
              </w:rPr>
              <w:t>・生活習慣病重症化予防対策事業は、他市医療機関の相互乗り入れを実施し、対象者を拡大して事業参加者の増加を図る。</w:t>
            </w:r>
          </w:p>
          <w:p>
            <w:pPr>
              <w:rPr>
                <w:rFonts w:ascii="ＭＳ ゴシック" w:eastAsia="ＭＳ ゴシック" w:hAnsi="ＭＳ ゴシック"/>
                <w:sz w:val="22"/>
              </w:rPr>
            </w:pPr>
            <w:r>
              <w:rPr>
                <w:rFonts w:ascii="ＭＳ ゴシック" w:eastAsia="ＭＳ ゴシック" w:hAnsi="ＭＳ ゴシック" w:hint="eastAsia"/>
                <w:sz w:val="22"/>
              </w:rPr>
              <w:t>・循環器疾患・がん予防対策事業は、特定保健指導対象者以外で、服薬の必要性があると考えられる検査値以上の者に受診勧奨を行う。</w:t>
            </w:r>
          </w:p>
          <w:p>
            <w:pPr>
              <w:rPr>
                <w:rFonts w:ascii="ＭＳ ゴシック" w:eastAsia="ＭＳ ゴシック" w:hAnsi="ＭＳ ゴシック"/>
                <w:sz w:val="22"/>
              </w:rPr>
            </w:pPr>
            <w:r>
              <w:rPr>
                <w:rFonts w:ascii="ＭＳ ゴシック" w:eastAsia="ＭＳ ゴシック" w:hAnsi="ＭＳ ゴシック" w:hint="eastAsia"/>
                <w:sz w:val="22"/>
              </w:rPr>
              <w:t>・人間ドック受検者の検査結果を把握し、特定保健指導を実施する。</w:t>
            </w:r>
          </w:p>
          <w:p>
            <w:pPr>
              <w:rPr>
                <w:rFonts w:ascii="ＭＳ ゴシック" w:eastAsia="ＭＳ ゴシック" w:hAnsi="ＭＳ ゴシック"/>
                <w:sz w:val="22"/>
              </w:rPr>
            </w:pPr>
            <w:r>
              <w:rPr>
                <w:rFonts w:ascii="ＭＳ ゴシック" w:eastAsia="ＭＳ ゴシック" w:hAnsi="ＭＳ ゴシック" w:hint="eastAsia"/>
                <w:sz w:val="22"/>
              </w:rPr>
              <w:t>・医療費適正化事業は、埼玉県国民健康保険団体連合会と協働し、重複服薬、多剤投与者対策事業に取り組む。</w:t>
            </w:r>
          </w:p>
        </w:tc>
      </w:tr>
    </w:tbl>
    <w:p>
      <w:pPr>
        <w:rPr>
          <w:rFonts w:ascii="ＭＳ ゴシック" w:eastAsia="ＭＳ ゴシック" w:hAnsi="ＭＳ ゴシック"/>
          <w:b/>
          <w:sz w:val="28"/>
        </w:rPr>
      </w:pPr>
    </w:p>
    <w:p>
      <w:pPr>
        <w:rPr>
          <w:rFonts w:asciiTheme="majorEastAsia" w:eastAsiaTheme="majorEastAsia" w:hAnsiTheme="majorEastAsia" w:cs="Meiryo UI"/>
          <w:b/>
          <w:sz w:val="28"/>
          <w:szCs w:val="28"/>
        </w:rPr>
      </w:pPr>
      <w:r>
        <w:rPr>
          <w:rFonts w:ascii="ＭＳ ゴシック" w:eastAsia="ＭＳ ゴシック" w:hAnsi="ＭＳ ゴシック" w:hint="eastAsia"/>
          <w:b/>
          <w:sz w:val="28"/>
        </w:rPr>
        <w:lastRenderedPageBreak/>
        <w:t>７</w:t>
      </w:r>
      <w:r>
        <w:rPr>
          <w:rFonts w:ascii="ＭＳ ゴシック" w:eastAsia="ＭＳ ゴシック" w:hAnsi="ＭＳ ゴシック"/>
          <w:b/>
          <w:sz w:val="28"/>
        </w:rPr>
        <w:t xml:space="preserve">　</w:t>
      </w:r>
      <w:r>
        <w:rPr>
          <w:rFonts w:asciiTheme="majorEastAsia" w:eastAsiaTheme="majorEastAsia" w:hAnsiTheme="majorEastAsia" w:cs="Meiryo UI" w:hint="eastAsia"/>
          <w:b/>
          <w:sz w:val="28"/>
          <w:szCs w:val="28"/>
        </w:rPr>
        <w:t>計画の最終評価</w:t>
      </w:r>
    </w:p>
    <w:p>
      <w:pPr>
        <w:ind w:leftChars="57" w:left="120"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評価は、ＫＤＢシステム等を活用し、可能な限り数値を用いて行います。</w:t>
      </w:r>
    </w:p>
    <w:p>
      <w:pPr>
        <w:ind w:leftChars="157" w:left="3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計画の見直しは、令和２年度に中間評価を実施した後、令和５年度に、計画に掲げた目的・目標の達成状況の最終評価を行い、次期計画に反映させることとします。</w:t>
      </w:r>
    </w:p>
    <w:p>
      <w:pPr>
        <w:ind w:leftChars="157" w:left="33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なお、法令改正や社会情勢の著しい変化等があった場合は、必要に応じて随時計画の見直しをすることとします。</w:t>
      </w:r>
    </w:p>
    <w:p>
      <w:pPr>
        <w:ind w:leftChars="157" w:left="330" w:firstLineChars="100" w:firstLine="240"/>
        <w:rPr>
          <w:rFonts w:ascii="ＭＳ ゴシック" w:eastAsia="ＭＳ ゴシック" w:hAnsi="ＭＳ ゴシック"/>
          <w:sz w:val="24"/>
          <w:szCs w:val="21"/>
        </w:rPr>
      </w:pPr>
      <w:r>
        <w:rPr>
          <w:rFonts w:ascii="ＭＳ ゴシック" w:eastAsia="ＭＳ ゴシック" w:hAnsi="ＭＳ ゴシック" w:hint="eastAsia"/>
          <w:sz w:val="24"/>
          <w:szCs w:val="21"/>
        </w:rPr>
        <w:t>保険運営健全化の観点からこの計画の進捗状況については、鶴ヶ島市国民健康保険運営協議会へ報告し、必要に応じて、埼玉県国民健康保険団体連合会に設置する保健事業支援・評価委員会の指導又は助言を受けるものとします。</w:t>
      </w:r>
    </w:p>
    <w:p>
      <w:pPr>
        <w:ind w:leftChars="157" w:left="330" w:firstLineChars="100" w:firstLine="240"/>
        <w:rPr>
          <w:rFonts w:ascii="ＭＳ ゴシック" w:eastAsia="ＭＳ ゴシック" w:hAnsi="ＭＳ ゴシック"/>
          <w:sz w:val="24"/>
          <w:szCs w:val="21"/>
        </w:rPr>
      </w:pPr>
      <w:r>
        <w:rPr>
          <w:rFonts w:ascii="ＭＳ ゴシック" w:eastAsia="ＭＳ ゴシック" w:hAnsi="ＭＳ ゴシック"/>
          <w:sz w:val="24"/>
          <w:szCs w:val="21"/>
        </w:rPr>
        <w:t>策定した計画は、</w:t>
      </w:r>
      <w:r>
        <w:rPr>
          <w:rFonts w:ascii="ＭＳ ゴシック" w:eastAsia="ＭＳ ゴシック" w:hAnsi="ＭＳ ゴシック" w:hint="eastAsia"/>
          <w:sz w:val="24"/>
          <w:szCs w:val="21"/>
        </w:rPr>
        <w:t>要旨をまとめた概要版と併せて市の</w:t>
      </w:r>
      <w:r>
        <w:rPr>
          <w:rFonts w:ascii="ＭＳ ゴシック" w:eastAsia="ＭＳ ゴシック" w:hAnsi="ＭＳ ゴシック"/>
          <w:sz w:val="24"/>
          <w:szCs w:val="21"/>
        </w:rPr>
        <w:t>広報やホームページに掲載</w:t>
      </w:r>
      <w:r>
        <w:rPr>
          <w:rFonts w:ascii="ＭＳ ゴシック" w:eastAsia="ＭＳ ゴシック" w:hAnsi="ＭＳ ゴシック" w:hint="eastAsia"/>
          <w:sz w:val="24"/>
          <w:szCs w:val="21"/>
        </w:rPr>
        <w:t>します。</w:t>
      </w:r>
    </w:p>
    <w:p>
      <w:pPr>
        <w:ind w:leftChars="157" w:left="330" w:firstLineChars="100" w:firstLine="240"/>
        <w:rPr>
          <w:rFonts w:ascii="ＭＳ ゴシック" w:eastAsia="ＭＳ ゴシック" w:hAnsi="ＭＳ ゴシック"/>
          <w:sz w:val="24"/>
          <w:szCs w:val="21"/>
        </w:rPr>
      </w:pPr>
    </w:p>
    <w:p>
      <w:pPr>
        <w:ind w:leftChars="157" w:left="330" w:firstLineChars="100" w:firstLine="240"/>
        <w:rPr>
          <w:rFonts w:ascii="ＭＳ ゴシック" w:eastAsia="ＭＳ ゴシック" w:hAnsi="ＭＳ ゴシック"/>
          <w:sz w:val="24"/>
          <w:szCs w:val="21"/>
        </w:rPr>
      </w:pPr>
    </w:p>
    <w:p>
      <w:pPr>
        <w:ind w:leftChars="157" w:left="330" w:firstLineChars="100" w:firstLine="240"/>
        <w:rPr>
          <w:rFonts w:ascii="ＭＳ ゴシック" w:eastAsia="ＭＳ ゴシック" w:hAnsi="ＭＳ ゴシック"/>
          <w:sz w:val="24"/>
          <w:szCs w:val="21"/>
        </w:rPr>
      </w:pPr>
    </w:p>
    <w:p>
      <w:pPr>
        <w:ind w:leftChars="157" w:left="330" w:firstLineChars="100" w:firstLine="240"/>
        <w:rPr>
          <w:rFonts w:ascii="ＭＳ ゴシック" w:eastAsia="ＭＳ ゴシック" w:hAnsi="ＭＳ ゴシック"/>
          <w:sz w:val="24"/>
          <w:szCs w:val="21"/>
        </w:rPr>
        <w:sectPr>
          <w:type w:val="continuous"/>
          <w:pgSz w:w="11906" w:h="16838" w:code="9"/>
          <w:pgMar w:top="1276" w:right="991" w:bottom="709" w:left="1134" w:header="851" w:footer="284" w:gutter="0"/>
          <w:pgNumType w:start="1"/>
          <w:cols w:space="425"/>
          <w:docGrid w:type="lines" w:linePitch="360"/>
        </w:sectPr>
      </w:pPr>
    </w:p>
    <w:p>
      <w:pPr>
        <w:rPr>
          <w:rFonts w:ascii="ＭＳ ゴシック" w:eastAsia="ＭＳ ゴシック" w:hAnsi="ＭＳ ゴシック"/>
          <w:color w:val="FF0000"/>
          <w:sz w:val="24"/>
        </w:rPr>
      </w:pPr>
      <w:r>
        <w:rPr>
          <w:rFonts w:ascii="ＭＳ ゴシック" w:eastAsia="ＭＳ ゴシック" w:hAnsi="ＭＳ ゴシック"/>
          <w:noProof/>
          <w:color w:val="FF0000"/>
          <w:sz w:val="24"/>
        </w:rPr>
        <w:lastRenderedPageBreak/>
        <mc:AlternateContent>
          <mc:Choice Requires="wps">
            <w:drawing>
              <wp:anchor distT="0" distB="0" distL="114300" distR="114300" simplePos="0" relativeHeight="251748864" behindDoc="0" locked="0" layoutInCell="1" allowOverlap="1">
                <wp:simplePos x="0" y="0"/>
                <wp:positionH relativeFrom="margin">
                  <wp:posOffset>-157480</wp:posOffset>
                </wp:positionH>
                <wp:positionV relativeFrom="margin">
                  <wp:posOffset>4414520</wp:posOffset>
                </wp:positionV>
                <wp:extent cx="6127115" cy="4333875"/>
                <wp:effectExtent l="19050" t="19050" r="26035" b="28575"/>
                <wp:wrapSquare wrapText="bothSides"/>
                <wp:docPr id="316" name="正方形/長方形 316"/>
                <wp:cNvGraphicFramePr/>
                <a:graphic xmlns:a="http://schemas.openxmlformats.org/drawingml/2006/main">
                  <a:graphicData uri="http://schemas.microsoft.com/office/word/2010/wordprocessingShape">
                    <wps:wsp>
                      <wps:cNvSpPr/>
                      <wps:spPr>
                        <a:xfrm>
                          <a:off x="0" y="0"/>
                          <a:ext cx="6127115" cy="4333875"/>
                        </a:xfrm>
                        <a:prstGeom prst="rect">
                          <a:avLst/>
                        </a:prstGeom>
                        <a:ln w="28575">
                          <a:solidFill>
                            <a:schemeClr val="accent5">
                              <a:lumMod val="75000"/>
                            </a:schemeClr>
                          </a:solidFill>
                        </a:ln>
                      </wps:spPr>
                      <wps:style>
                        <a:lnRef idx="2">
                          <a:schemeClr val="accent6"/>
                        </a:lnRef>
                        <a:fillRef idx="1">
                          <a:schemeClr val="lt1"/>
                        </a:fillRef>
                        <a:effectRef idx="0">
                          <a:schemeClr val="accent6"/>
                        </a:effectRef>
                        <a:fontRef idx="minor">
                          <a:schemeClr val="dk1"/>
                        </a:fontRef>
                      </wps:style>
                      <wps:txbx>
                        <w:txbxContent>
                          <w:p>
                            <w:pPr>
                              <w:pStyle w:val="aa"/>
                              <w:jc w:val="center"/>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鶴ヶ島市国民健康保険保健事業実施計画（データヘルス計画）及び</w:t>
                            </w:r>
                          </w:p>
                          <w:p>
                            <w:pPr>
                              <w:pStyle w:val="aa"/>
                              <w:ind w:firstLineChars="200" w:firstLine="560"/>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第３期鶴ヶ島市特定健康診査等実施計画中間</w:t>
                            </w:r>
                            <w:r>
                              <w:rPr>
                                <w:rFonts w:asciiTheme="majorEastAsia" w:eastAsiaTheme="majorEastAsia" w:hAnsiTheme="majorEastAsia"/>
                                <w:bCs/>
                                <w:color w:val="000000" w:themeColor="text1"/>
                                <w:sz w:val="28"/>
                                <w:szCs w:val="28"/>
                                <w:lang w:val="ja-JP"/>
                              </w:rPr>
                              <w:t>評価</w:t>
                            </w:r>
                            <w:r>
                              <w:rPr>
                                <w:rFonts w:asciiTheme="majorEastAsia" w:eastAsiaTheme="majorEastAsia" w:hAnsiTheme="majorEastAsia" w:hint="eastAsia"/>
                                <w:bCs/>
                                <w:color w:val="000000" w:themeColor="text1"/>
                                <w:sz w:val="28"/>
                                <w:szCs w:val="28"/>
                                <w:lang w:val="ja-JP"/>
                              </w:rPr>
                              <w:t>報告書</w:t>
                            </w:r>
                          </w:p>
                          <w:p>
                            <w:pPr>
                              <w:jc w:val="center"/>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令和３年３月発行</w:t>
                            </w:r>
                          </w:p>
                          <w:p>
                            <w:pPr>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発行　鶴ヶ島市</w:t>
                            </w:r>
                          </w:p>
                          <w:p>
                            <w:pPr>
                              <w:spacing w:line="500" w:lineRule="exact"/>
                              <w:rPr>
                                <w:rFonts w:asciiTheme="majorEastAsia" w:eastAsiaTheme="majorEastAsia" w:hAnsiTheme="majorEastAsia"/>
                                <w:bCs/>
                                <w:color w:val="000000" w:themeColor="text1"/>
                                <w:sz w:val="24"/>
                                <w:szCs w:val="24"/>
                                <w:lang w:val="ja-JP"/>
                              </w:rPr>
                            </w:pP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〒350-22</w:t>
                            </w:r>
                            <w:r>
                              <w:rPr>
                                <w:rFonts w:asciiTheme="majorEastAsia" w:eastAsiaTheme="majorEastAsia" w:hAnsiTheme="majorEastAsia"/>
                                <w:bCs/>
                                <w:color w:val="000000" w:themeColor="text1"/>
                                <w:sz w:val="24"/>
                                <w:szCs w:val="24"/>
                                <w:lang w:val="ja-JP"/>
                              </w:rPr>
                              <w:t>92</w:t>
                            </w:r>
                            <w:r>
                              <w:rPr>
                                <w:rFonts w:asciiTheme="majorEastAsia" w:eastAsiaTheme="majorEastAsia" w:hAnsiTheme="majorEastAsia" w:hint="eastAsia"/>
                                <w:bCs/>
                                <w:color w:val="000000" w:themeColor="text1"/>
                                <w:sz w:val="24"/>
                                <w:szCs w:val="24"/>
                                <w:lang w:val="ja-JP"/>
                              </w:rPr>
                              <w:t xml:space="preserve">　埼玉県鶴ヶ島市大字三ツ木</w:t>
                            </w:r>
                            <w:r>
                              <w:rPr>
                                <w:rFonts w:asciiTheme="majorEastAsia" w:eastAsiaTheme="majorEastAsia" w:hAnsiTheme="majorEastAsia"/>
                                <w:bCs/>
                                <w:color w:val="000000" w:themeColor="text1"/>
                                <w:sz w:val="24"/>
                                <w:szCs w:val="24"/>
                                <w:lang w:val="ja-JP"/>
                              </w:rPr>
                              <w:t>16-1</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電　話　049-271-</w:t>
                            </w:r>
                            <w:r>
                              <w:rPr>
                                <w:rFonts w:asciiTheme="majorEastAsia" w:eastAsiaTheme="majorEastAsia" w:hAnsiTheme="majorEastAsia"/>
                                <w:bCs/>
                                <w:color w:val="000000" w:themeColor="text1"/>
                                <w:sz w:val="24"/>
                                <w:szCs w:val="24"/>
                                <w:lang w:val="ja-JP"/>
                              </w:rPr>
                              <w:t>1111</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鶴ヶ島市　健康福祉部　保険年金課</w:t>
                            </w:r>
                          </w:p>
                          <w:p>
                            <w:pPr>
                              <w:spacing w:line="500" w:lineRule="exact"/>
                              <w:rPr>
                                <w:rFonts w:asciiTheme="majorEastAsia" w:eastAsiaTheme="majorEastAsia" w:hAnsiTheme="majorEastAsia"/>
                                <w:bCs/>
                                <w:color w:val="000000" w:themeColor="text1"/>
                                <w:sz w:val="24"/>
                                <w:szCs w:val="24"/>
                                <w:lang w:val="ja-JP"/>
                              </w:rPr>
                            </w:pPr>
                          </w:p>
                          <w:p>
                            <w:pPr>
                              <w:spacing w:line="500" w:lineRule="exact"/>
                              <w:ind w:firstLineChars="100" w:firstLine="240"/>
                              <w:rPr>
                                <w:rFonts w:asciiTheme="majorEastAsia" w:eastAsiaTheme="majorEastAsia" w:hAnsiTheme="majorEastAsia"/>
                                <w:bCs/>
                                <w:color w:val="000000" w:themeColor="text1"/>
                                <w:sz w:val="24"/>
                                <w:szCs w:val="24"/>
                                <w:lang w:val="ja-JP"/>
                              </w:rPr>
                            </w:pPr>
                            <w:bookmarkStart w:id="9" w:name="_Hlk59451839"/>
                            <w:bookmarkStart w:id="10" w:name="_Hlk59451840"/>
                            <w:r>
                              <w:rPr>
                                <w:rFonts w:asciiTheme="majorEastAsia" w:eastAsiaTheme="majorEastAsia" w:hAnsiTheme="majorEastAsia" w:hint="eastAsia"/>
                                <w:bCs/>
                                <w:color w:val="000000" w:themeColor="text1"/>
                                <w:sz w:val="24"/>
                                <w:szCs w:val="24"/>
                                <w:lang w:val="ja-JP"/>
                              </w:rPr>
                              <w:t>〒350-2213　埼玉県鶴ヶ島市大字脚折1922-10</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電　話　049-271-2745</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鶴ヶ島市　健康福祉部　保健センター</w:t>
                            </w:r>
                            <w:bookmarkEnd w:id="9"/>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16" o:spid="_x0000_s1033" style="position:absolute;left:0;text-align:left;margin-left:-12.4pt;margin-top:347.6pt;width:482.45pt;height:341.25pt;z-index:251748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" fillcolor="white [3201]" strokecolor="#2f5496 [2408]" strokeweight="2.25pt">
                <v:textbox>
                  <w:txbxContent>
                    <w:p>
                      <w:pPr>
                        <w:pStyle w:val="aa"/>
                        <w:jc w:val="center"/>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鶴ヶ島市国民健康保険保健事業実施計画（データヘルス計画）及び</w:t>
                      </w:r>
                    </w:p>
                    <w:p>
                      <w:pPr>
                        <w:pStyle w:val="aa"/>
                        <w:ind w:firstLineChars="200" w:firstLine="560"/>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第３期鶴ヶ島市特定健康診査等実施計画中間</w:t>
                      </w:r>
                      <w:r>
                        <w:rPr>
                          <w:rFonts w:asciiTheme="majorEastAsia" w:eastAsiaTheme="majorEastAsia" w:hAnsiTheme="majorEastAsia"/>
                          <w:bCs/>
                          <w:color w:val="000000" w:themeColor="text1"/>
                          <w:sz w:val="28"/>
                          <w:szCs w:val="28"/>
                          <w:lang w:val="ja-JP"/>
                        </w:rPr>
                        <w:t>評価</w:t>
                      </w:r>
                      <w:r>
                        <w:rPr>
                          <w:rFonts w:asciiTheme="majorEastAsia" w:eastAsiaTheme="majorEastAsia" w:hAnsiTheme="majorEastAsia" w:hint="eastAsia"/>
                          <w:bCs/>
                          <w:color w:val="000000" w:themeColor="text1"/>
                          <w:sz w:val="28"/>
                          <w:szCs w:val="28"/>
                          <w:lang w:val="ja-JP"/>
                        </w:rPr>
                        <w:t>報告書</w:t>
                      </w:r>
                    </w:p>
                    <w:p>
                      <w:pPr>
                        <w:jc w:val="center"/>
                        <w:rPr>
                          <w:rFonts w:asciiTheme="majorEastAsia" w:eastAsiaTheme="majorEastAsia" w:hAnsiTheme="majorEastAsia"/>
                          <w:bCs/>
                          <w:color w:val="000000" w:themeColor="text1"/>
                          <w:sz w:val="28"/>
                          <w:szCs w:val="28"/>
                          <w:lang w:val="ja-JP"/>
                        </w:rPr>
                      </w:pPr>
                      <w:r>
                        <w:rPr>
                          <w:rFonts w:asciiTheme="majorEastAsia" w:eastAsiaTheme="majorEastAsia" w:hAnsiTheme="majorEastAsia" w:hint="eastAsia"/>
                          <w:bCs/>
                          <w:color w:val="000000" w:themeColor="text1"/>
                          <w:sz w:val="28"/>
                          <w:szCs w:val="28"/>
                          <w:lang w:val="ja-JP"/>
                        </w:rPr>
                        <w:t>令和３年３月発行</w:t>
                      </w:r>
                    </w:p>
                    <w:p>
                      <w:pPr>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発行　鶴ヶ島市</w:t>
                      </w:r>
                    </w:p>
                    <w:p>
                      <w:pPr>
                        <w:spacing w:line="500" w:lineRule="exact"/>
                        <w:rPr>
                          <w:rFonts w:asciiTheme="majorEastAsia" w:eastAsiaTheme="majorEastAsia" w:hAnsiTheme="majorEastAsia"/>
                          <w:bCs/>
                          <w:color w:val="000000" w:themeColor="text1"/>
                          <w:sz w:val="24"/>
                          <w:szCs w:val="24"/>
                          <w:lang w:val="ja-JP"/>
                        </w:rPr>
                      </w:pP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〒350-22</w:t>
                      </w:r>
                      <w:r>
                        <w:rPr>
                          <w:rFonts w:asciiTheme="majorEastAsia" w:eastAsiaTheme="majorEastAsia" w:hAnsiTheme="majorEastAsia"/>
                          <w:bCs/>
                          <w:color w:val="000000" w:themeColor="text1"/>
                          <w:sz w:val="24"/>
                          <w:szCs w:val="24"/>
                          <w:lang w:val="ja-JP"/>
                        </w:rPr>
                        <w:t>92</w:t>
                      </w:r>
                      <w:r>
                        <w:rPr>
                          <w:rFonts w:asciiTheme="majorEastAsia" w:eastAsiaTheme="majorEastAsia" w:hAnsiTheme="majorEastAsia" w:hint="eastAsia"/>
                          <w:bCs/>
                          <w:color w:val="000000" w:themeColor="text1"/>
                          <w:sz w:val="24"/>
                          <w:szCs w:val="24"/>
                          <w:lang w:val="ja-JP"/>
                        </w:rPr>
                        <w:t xml:space="preserve">　埼玉県鶴ヶ島市大字三ツ木</w:t>
                      </w:r>
                      <w:r>
                        <w:rPr>
                          <w:rFonts w:asciiTheme="majorEastAsia" w:eastAsiaTheme="majorEastAsia" w:hAnsiTheme="majorEastAsia"/>
                          <w:bCs/>
                          <w:color w:val="000000" w:themeColor="text1"/>
                          <w:sz w:val="24"/>
                          <w:szCs w:val="24"/>
                          <w:lang w:val="ja-JP"/>
                        </w:rPr>
                        <w:t>16-1</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電　話　049-271-</w:t>
                      </w:r>
                      <w:r>
                        <w:rPr>
                          <w:rFonts w:asciiTheme="majorEastAsia" w:eastAsiaTheme="majorEastAsia" w:hAnsiTheme="majorEastAsia"/>
                          <w:bCs/>
                          <w:color w:val="000000" w:themeColor="text1"/>
                          <w:sz w:val="24"/>
                          <w:szCs w:val="24"/>
                          <w:lang w:val="ja-JP"/>
                        </w:rPr>
                        <w:t>1111</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鶴ヶ島市　健康福祉部　保険年金課</w:t>
                      </w:r>
                    </w:p>
                    <w:p>
                      <w:pPr>
                        <w:spacing w:line="500" w:lineRule="exact"/>
                        <w:rPr>
                          <w:rFonts w:asciiTheme="majorEastAsia" w:eastAsiaTheme="majorEastAsia" w:hAnsiTheme="majorEastAsia"/>
                          <w:bCs/>
                          <w:color w:val="000000" w:themeColor="text1"/>
                          <w:sz w:val="24"/>
                          <w:szCs w:val="24"/>
                          <w:lang w:val="ja-JP"/>
                        </w:rPr>
                      </w:pPr>
                    </w:p>
                    <w:p>
                      <w:pPr>
                        <w:spacing w:line="500" w:lineRule="exact"/>
                        <w:ind w:firstLineChars="100" w:firstLine="240"/>
                        <w:rPr>
                          <w:rFonts w:asciiTheme="majorEastAsia" w:eastAsiaTheme="majorEastAsia" w:hAnsiTheme="majorEastAsia"/>
                          <w:bCs/>
                          <w:color w:val="000000" w:themeColor="text1"/>
                          <w:sz w:val="24"/>
                          <w:szCs w:val="24"/>
                          <w:lang w:val="ja-JP"/>
                        </w:rPr>
                      </w:pPr>
                      <w:bookmarkStart w:id="11" w:name="_Hlk59451839"/>
                      <w:bookmarkStart w:id="12" w:name="_Hlk59451840"/>
                      <w:r>
                        <w:rPr>
                          <w:rFonts w:asciiTheme="majorEastAsia" w:eastAsiaTheme="majorEastAsia" w:hAnsiTheme="majorEastAsia" w:hint="eastAsia"/>
                          <w:bCs/>
                          <w:color w:val="000000" w:themeColor="text1"/>
                          <w:sz w:val="24"/>
                          <w:szCs w:val="24"/>
                          <w:lang w:val="ja-JP"/>
                        </w:rPr>
                        <w:t>〒350-2213　埼玉県鶴ヶ島市大字脚折1922-10</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電　話　049-271-2745</w:t>
                      </w:r>
                    </w:p>
                    <w:p>
                      <w:pPr>
                        <w:spacing w:line="500" w:lineRule="exact"/>
                        <w:ind w:firstLineChars="100" w:firstLine="240"/>
                        <w:rPr>
                          <w:rFonts w:asciiTheme="majorEastAsia" w:eastAsiaTheme="majorEastAsia" w:hAnsiTheme="majorEastAsia"/>
                          <w:bCs/>
                          <w:color w:val="000000" w:themeColor="text1"/>
                          <w:sz w:val="24"/>
                          <w:szCs w:val="24"/>
                          <w:lang w:val="ja-JP"/>
                        </w:rPr>
                      </w:pPr>
                      <w:r>
                        <w:rPr>
                          <w:rFonts w:asciiTheme="majorEastAsia" w:eastAsiaTheme="majorEastAsia" w:hAnsiTheme="majorEastAsia" w:hint="eastAsia"/>
                          <w:bCs/>
                          <w:color w:val="000000" w:themeColor="text1"/>
                          <w:sz w:val="24"/>
                          <w:szCs w:val="24"/>
                          <w:lang w:val="ja-JP"/>
                        </w:rPr>
                        <w:t>鶴ヶ島市　健康福祉部　保健センター</w:t>
                      </w:r>
                      <w:bookmarkEnd w:id="11"/>
                      <w:bookmarkEnd w:id="12"/>
                    </w:p>
                  </w:txbxContent>
                </v:textbox>
                <w10:wrap type="square" anchorx="margin" anchory="margin"/>
              </v:rect>
            </w:pict>
          </mc:Fallback>
        </mc:AlternateContent>
      </w:r>
      <w:r>
        <w:rPr>
          <w:rFonts w:ascii="ＭＳ ゴシック" w:eastAsia="ＭＳ ゴシック" w:hAnsi="ＭＳ ゴシック" w:hint="eastAsia"/>
          <w:noProof/>
          <w:color w:val="FF0000"/>
          <w:sz w:val="24"/>
        </w:rPr>
        <mc:AlternateContent>
          <mc:Choice Requires="wps">
            <w:drawing>
              <wp:anchor distT="0" distB="0" distL="114300" distR="114300" simplePos="0" relativeHeight="251775488" behindDoc="0" locked="0" layoutInCell="1" allowOverlap="1">
                <wp:simplePos x="0" y="0"/>
                <wp:positionH relativeFrom="column">
                  <wp:posOffset>2661920</wp:posOffset>
                </wp:positionH>
                <wp:positionV relativeFrom="paragraph">
                  <wp:posOffset>8976995</wp:posOffset>
                </wp:positionV>
                <wp:extent cx="457200" cy="266700"/>
                <wp:effectExtent l="0" t="0" r="0" b="0"/>
                <wp:wrapNone/>
                <wp:docPr id="15" name="正方形/長方形 15"/>
                <wp:cNvGraphicFramePr/>
                <a:graphic xmlns:a="http://schemas.openxmlformats.org/drawingml/2006/main">
                  <a:graphicData uri="http://schemas.microsoft.com/office/word/2010/wordprocessingShape">
                    <wps:wsp>
                      <wps:cNvSpPr/>
                      <wps:spPr>
                        <a:xfrm>
                          <a:off x="0" y="0"/>
                          <a:ext cx="457200" cy="2667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 o:spid="_x0000_s1026" style="position:absolute;left:0;text-align:left;margin-left:209.6pt;margin-top:706.85pt;width:36pt;height:21pt;z-index:251775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" fillcolor="white [3212]" stroked="f" strokeweight="1pt"/>
            </w:pict>
          </mc:Fallback>
        </mc:AlternateContent>
      </w:r>
    </w:p>
    <w:sectPr>
      <w:footerReference w:type="default" r:id="rId33"/>
      <w:pgSz w:w="11906" w:h="16838"/>
      <w:pgMar w:top="1418" w:right="1418" w:bottom="1418" w:left="1418" w:header="851" w:footer="992"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MS-Mincho">
    <w:altName w:val="Arial Unicode MS"/>
    <w:panose1 w:val="00000000000000000000"/>
    <w:charset w:val="80"/>
    <w:family w:val="auto"/>
    <w:notTrueType/>
    <w:pitch w:val="default"/>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jc w:val="center"/>
      <w:rPr>
        <w:lang w:eastAsia="ja-JP"/>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jc w:val="center"/>
      <w:rPr>
        <w:lang w:eastAsia="ja-JP"/>
      </w:rPr>
    </w:pPr>
    <w:r>
      <w:fldChar w:fldCharType="begin"/>
    </w:r>
    <w:r>
      <w:instrText>PAGE   \* MERGEFORMAT</w:instrText>
    </w:r>
    <w:r>
      <w:fldChar w:fldCharType="separate"/>
    </w:r>
    <w:r>
      <w:rPr>
        <w:noProof/>
        <w:lang w:val="ja-JP" w:eastAsia="ja-JP"/>
      </w:rPr>
      <w:t>12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a5"/>
      <w:jc w:val="center"/>
    </w:pPr>
    <w:r>
      <w:fldChar w:fldCharType="begin"/>
    </w:r>
    <w:r>
      <w:instrText>PAGE   \* MERGEFORMAT</w:instrText>
    </w:r>
    <w:r>
      <w:fldChar w:fldCharType="separate"/>
    </w:r>
    <w:r>
      <w:rPr>
        <w:noProof/>
        <w:lang w:val="ja-JP"/>
      </w:rPr>
      <w:t>13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
        <w:separator/>
      </w:r>
    </w:p>
  </w:footnote>
  <w:footnote w:type="continuationSeparator" w:id="0">
    <w:p>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D7E3D"/>
    <w:multiLevelType w:val="hybridMultilevel"/>
    <w:tmpl w:val="68C4B266"/>
    <w:lvl w:ilvl="0" w:tplc="EAB60E6A">
      <w:start w:val="1"/>
      <w:numFmt w:val="decimalFullWidth"/>
      <w:lvlText w:val="（%1）"/>
      <w:lvlJc w:val="left"/>
      <w:pPr>
        <w:tabs>
          <w:tab w:val="num" w:pos="578"/>
        </w:tabs>
        <w:ind w:left="578" w:hanging="720"/>
      </w:pPr>
      <w:rPr>
        <w:rFonts w:hint="default"/>
      </w:rPr>
    </w:lvl>
    <w:lvl w:ilvl="1" w:tplc="04090017" w:tentative="1">
      <w:start w:val="1"/>
      <w:numFmt w:val="aiueoFullWidth"/>
      <w:lvlText w:val="(%2)"/>
      <w:lvlJc w:val="left"/>
      <w:pPr>
        <w:tabs>
          <w:tab w:val="num" w:pos="698"/>
        </w:tabs>
        <w:ind w:left="698" w:hanging="420"/>
      </w:pPr>
    </w:lvl>
    <w:lvl w:ilvl="2" w:tplc="04090011" w:tentative="1">
      <w:start w:val="1"/>
      <w:numFmt w:val="decimalEnclosedCircle"/>
      <w:lvlText w:val="%3"/>
      <w:lvlJc w:val="left"/>
      <w:pPr>
        <w:tabs>
          <w:tab w:val="num" w:pos="1118"/>
        </w:tabs>
        <w:ind w:left="1118" w:hanging="420"/>
      </w:pPr>
    </w:lvl>
    <w:lvl w:ilvl="3" w:tplc="0409000F" w:tentative="1">
      <w:start w:val="1"/>
      <w:numFmt w:val="decimal"/>
      <w:lvlText w:val="%4."/>
      <w:lvlJc w:val="left"/>
      <w:pPr>
        <w:tabs>
          <w:tab w:val="num" w:pos="1538"/>
        </w:tabs>
        <w:ind w:left="1538" w:hanging="420"/>
      </w:pPr>
    </w:lvl>
    <w:lvl w:ilvl="4" w:tplc="04090017" w:tentative="1">
      <w:start w:val="1"/>
      <w:numFmt w:val="aiueoFullWidth"/>
      <w:lvlText w:val="(%5)"/>
      <w:lvlJc w:val="left"/>
      <w:pPr>
        <w:tabs>
          <w:tab w:val="num" w:pos="1958"/>
        </w:tabs>
        <w:ind w:left="1958" w:hanging="420"/>
      </w:pPr>
    </w:lvl>
    <w:lvl w:ilvl="5" w:tplc="04090011" w:tentative="1">
      <w:start w:val="1"/>
      <w:numFmt w:val="decimalEnclosedCircle"/>
      <w:lvlText w:val="%6"/>
      <w:lvlJc w:val="left"/>
      <w:pPr>
        <w:tabs>
          <w:tab w:val="num" w:pos="2378"/>
        </w:tabs>
        <w:ind w:left="2378" w:hanging="420"/>
      </w:pPr>
    </w:lvl>
    <w:lvl w:ilvl="6" w:tplc="0409000F" w:tentative="1">
      <w:start w:val="1"/>
      <w:numFmt w:val="decimal"/>
      <w:lvlText w:val="%7."/>
      <w:lvlJc w:val="left"/>
      <w:pPr>
        <w:tabs>
          <w:tab w:val="num" w:pos="2798"/>
        </w:tabs>
        <w:ind w:left="2798" w:hanging="420"/>
      </w:pPr>
    </w:lvl>
    <w:lvl w:ilvl="7" w:tplc="04090017" w:tentative="1">
      <w:start w:val="1"/>
      <w:numFmt w:val="aiueoFullWidth"/>
      <w:lvlText w:val="(%8)"/>
      <w:lvlJc w:val="left"/>
      <w:pPr>
        <w:tabs>
          <w:tab w:val="num" w:pos="3218"/>
        </w:tabs>
        <w:ind w:left="3218" w:hanging="420"/>
      </w:pPr>
    </w:lvl>
    <w:lvl w:ilvl="8" w:tplc="04090011" w:tentative="1">
      <w:start w:val="1"/>
      <w:numFmt w:val="decimalEnclosedCircle"/>
      <w:lvlText w:val="%9"/>
      <w:lvlJc w:val="left"/>
      <w:pPr>
        <w:tabs>
          <w:tab w:val="num" w:pos="3638"/>
        </w:tabs>
        <w:ind w:left="3638" w:hanging="420"/>
      </w:pPr>
    </w:lvl>
  </w:abstractNum>
  <w:abstractNum w:abstractNumId="1" w15:restartNumberingAfterBreak="0">
    <w:nsid w:val="06B8606D"/>
    <w:multiLevelType w:val="hybridMultilevel"/>
    <w:tmpl w:val="73EA7920"/>
    <w:lvl w:ilvl="0" w:tplc="4C4A24F4">
      <w:start w:val="1"/>
      <w:numFmt w:val="decimalEnclosedCircle"/>
      <w:lvlText w:val="%1"/>
      <w:lvlJc w:val="left"/>
      <w:pPr>
        <w:ind w:left="720" w:hanging="360"/>
      </w:pPr>
      <w:rPr>
        <w:rFonts w:hint="default"/>
      </w:rPr>
    </w:lvl>
    <w:lvl w:ilvl="1" w:tplc="04090017">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0D692B4C"/>
    <w:multiLevelType w:val="hybridMultilevel"/>
    <w:tmpl w:val="B49445FC"/>
    <w:lvl w:ilvl="0" w:tplc="495A517C">
      <w:start w:val="1"/>
      <w:numFmt w:val="decimalFullWidth"/>
      <w:lvlText w:val="（%1）"/>
      <w:lvlJc w:val="left"/>
      <w:pPr>
        <w:tabs>
          <w:tab w:val="num" w:pos="720"/>
        </w:tabs>
        <w:ind w:left="720" w:hanging="720"/>
      </w:pPr>
      <w:rPr>
        <w:rFonts w:ascii="Times New Roman" w:eastAsia="Times New Roman" w:hAnsi="Times New Roman" w:cs="Times New Roman"/>
      </w:rPr>
    </w:lvl>
    <w:lvl w:ilvl="1" w:tplc="BCFE04FC">
      <w:start w:val="4"/>
      <w:numFmt w:val="bullet"/>
      <w:lvlText w:val="※"/>
      <w:lvlJc w:val="left"/>
      <w:pPr>
        <w:tabs>
          <w:tab w:val="num" w:pos="1140"/>
        </w:tabs>
        <w:ind w:left="1140" w:hanging="480"/>
      </w:pPr>
      <w:rPr>
        <w:rFonts w:ascii="ＭＳ 明朝" w:eastAsia="ＭＳ 明朝" w:hAnsi="ＭＳ 明朝" w:cs="Times New Roman" w:hint="eastAsia"/>
      </w:r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 w15:restartNumberingAfterBreak="0">
    <w:nsid w:val="0EBD23A9"/>
    <w:multiLevelType w:val="hybridMultilevel"/>
    <w:tmpl w:val="BC1E6DBC"/>
    <w:lvl w:ilvl="0" w:tplc="3F10CD3A">
      <w:start w:val="1"/>
      <w:numFmt w:val="decimalFullWidth"/>
      <w:lvlText w:val="（%1）"/>
      <w:lvlJc w:val="left"/>
      <w:pPr>
        <w:tabs>
          <w:tab w:val="num" w:pos="1440"/>
        </w:tabs>
        <w:ind w:left="1440" w:hanging="720"/>
      </w:pPr>
      <w:rPr>
        <w:rFonts w:hint="eastAsia"/>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4" w15:restartNumberingAfterBreak="0">
    <w:nsid w:val="0F155BCA"/>
    <w:multiLevelType w:val="hybridMultilevel"/>
    <w:tmpl w:val="A81EFD16"/>
    <w:lvl w:ilvl="0" w:tplc="984C3BA6">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5" w15:restartNumberingAfterBreak="0">
    <w:nsid w:val="15B5032E"/>
    <w:multiLevelType w:val="hybridMultilevel"/>
    <w:tmpl w:val="66C068AC"/>
    <w:lvl w:ilvl="0" w:tplc="50982B2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EFB3EB4"/>
    <w:multiLevelType w:val="hybridMultilevel"/>
    <w:tmpl w:val="9C3AEF92"/>
    <w:lvl w:ilvl="0" w:tplc="C13EFF44">
      <w:start w:val="1"/>
      <w:numFmt w:val="decimalFullWidth"/>
      <w:lvlText w:val="（%1）"/>
      <w:lvlJc w:val="left"/>
      <w:pPr>
        <w:tabs>
          <w:tab w:val="num" w:pos="818"/>
        </w:tabs>
        <w:ind w:left="818" w:hanging="720"/>
      </w:pPr>
      <w:rPr>
        <w:rFonts w:hint="default"/>
      </w:rPr>
    </w:lvl>
    <w:lvl w:ilvl="1" w:tplc="04090017">
      <w:start w:val="1"/>
      <w:numFmt w:val="aiueoFullWidth"/>
      <w:lvlText w:val="(%2)"/>
      <w:lvlJc w:val="left"/>
      <w:pPr>
        <w:tabs>
          <w:tab w:val="num" w:pos="938"/>
        </w:tabs>
        <w:ind w:left="938" w:hanging="420"/>
      </w:pPr>
    </w:lvl>
    <w:lvl w:ilvl="2" w:tplc="04090011" w:tentative="1">
      <w:start w:val="1"/>
      <w:numFmt w:val="decimalEnclosedCircle"/>
      <w:lvlText w:val="%3"/>
      <w:lvlJc w:val="left"/>
      <w:pPr>
        <w:tabs>
          <w:tab w:val="num" w:pos="1358"/>
        </w:tabs>
        <w:ind w:left="1358" w:hanging="420"/>
      </w:pPr>
    </w:lvl>
    <w:lvl w:ilvl="3" w:tplc="0409000F" w:tentative="1">
      <w:start w:val="1"/>
      <w:numFmt w:val="decimal"/>
      <w:lvlText w:val="%4."/>
      <w:lvlJc w:val="left"/>
      <w:pPr>
        <w:tabs>
          <w:tab w:val="num" w:pos="1778"/>
        </w:tabs>
        <w:ind w:left="1778" w:hanging="420"/>
      </w:pPr>
    </w:lvl>
    <w:lvl w:ilvl="4" w:tplc="04090017" w:tentative="1">
      <w:start w:val="1"/>
      <w:numFmt w:val="aiueoFullWidth"/>
      <w:lvlText w:val="(%5)"/>
      <w:lvlJc w:val="left"/>
      <w:pPr>
        <w:tabs>
          <w:tab w:val="num" w:pos="2198"/>
        </w:tabs>
        <w:ind w:left="2198" w:hanging="420"/>
      </w:pPr>
    </w:lvl>
    <w:lvl w:ilvl="5" w:tplc="04090011" w:tentative="1">
      <w:start w:val="1"/>
      <w:numFmt w:val="decimalEnclosedCircle"/>
      <w:lvlText w:val="%6"/>
      <w:lvlJc w:val="left"/>
      <w:pPr>
        <w:tabs>
          <w:tab w:val="num" w:pos="2618"/>
        </w:tabs>
        <w:ind w:left="2618" w:hanging="420"/>
      </w:pPr>
    </w:lvl>
    <w:lvl w:ilvl="6" w:tplc="0409000F" w:tentative="1">
      <w:start w:val="1"/>
      <w:numFmt w:val="decimal"/>
      <w:lvlText w:val="%7."/>
      <w:lvlJc w:val="left"/>
      <w:pPr>
        <w:tabs>
          <w:tab w:val="num" w:pos="3038"/>
        </w:tabs>
        <w:ind w:left="3038" w:hanging="420"/>
      </w:pPr>
    </w:lvl>
    <w:lvl w:ilvl="7" w:tplc="04090017" w:tentative="1">
      <w:start w:val="1"/>
      <w:numFmt w:val="aiueoFullWidth"/>
      <w:lvlText w:val="(%8)"/>
      <w:lvlJc w:val="left"/>
      <w:pPr>
        <w:tabs>
          <w:tab w:val="num" w:pos="3458"/>
        </w:tabs>
        <w:ind w:left="3458" w:hanging="420"/>
      </w:pPr>
    </w:lvl>
    <w:lvl w:ilvl="8" w:tplc="04090011" w:tentative="1">
      <w:start w:val="1"/>
      <w:numFmt w:val="decimalEnclosedCircle"/>
      <w:lvlText w:val="%9"/>
      <w:lvlJc w:val="left"/>
      <w:pPr>
        <w:tabs>
          <w:tab w:val="num" w:pos="3878"/>
        </w:tabs>
        <w:ind w:left="3878" w:hanging="420"/>
      </w:pPr>
    </w:lvl>
  </w:abstractNum>
  <w:abstractNum w:abstractNumId="7" w15:restartNumberingAfterBreak="0">
    <w:nsid w:val="1F000D5A"/>
    <w:multiLevelType w:val="hybridMultilevel"/>
    <w:tmpl w:val="F54299C8"/>
    <w:lvl w:ilvl="0" w:tplc="7D7EE3A0">
      <w:start w:val="1"/>
      <w:numFmt w:val="decimalEnclosedCircle"/>
      <w:lvlText w:val="%1"/>
      <w:lvlJc w:val="left"/>
      <w:pPr>
        <w:tabs>
          <w:tab w:val="num" w:pos="960"/>
        </w:tabs>
        <w:ind w:left="960" w:hanging="480"/>
      </w:pPr>
      <w:rPr>
        <w:rFonts w:hint="default"/>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8" w15:restartNumberingAfterBreak="0">
    <w:nsid w:val="282F5757"/>
    <w:multiLevelType w:val="hybridMultilevel"/>
    <w:tmpl w:val="1B1AF67E"/>
    <w:lvl w:ilvl="0" w:tplc="57526850">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29B66A80"/>
    <w:multiLevelType w:val="hybridMultilevel"/>
    <w:tmpl w:val="BF1635D8"/>
    <w:lvl w:ilvl="0" w:tplc="16F8A1A0">
      <w:numFmt w:val="bullet"/>
      <w:lvlText w:val="・"/>
      <w:lvlJc w:val="left"/>
      <w:pPr>
        <w:ind w:left="360" w:hanging="360"/>
      </w:pPr>
      <w:rPr>
        <w:rFonts w:ascii="ＭＳ ゴシック" w:eastAsia="ＭＳ ゴシック" w:hAnsi="ＭＳ ゴシック"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BEF297A"/>
    <w:multiLevelType w:val="hybridMultilevel"/>
    <w:tmpl w:val="34F61718"/>
    <w:lvl w:ilvl="0" w:tplc="04090011">
      <w:start w:val="3"/>
      <w:numFmt w:val="decimalEnclosedCircle"/>
      <w:lvlText w:val="%1"/>
      <w:lvlJc w:val="left"/>
      <w:pPr>
        <w:tabs>
          <w:tab w:val="num" w:pos="420"/>
        </w:tabs>
        <w:ind w:left="420" w:hanging="4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32022555"/>
    <w:multiLevelType w:val="hybridMultilevel"/>
    <w:tmpl w:val="0FF8EEB0"/>
    <w:lvl w:ilvl="0" w:tplc="91726876">
      <w:start w:val="1"/>
      <w:numFmt w:val="decimalEnclosedCircle"/>
      <w:lvlText w:val="%1"/>
      <w:lvlJc w:val="left"/>
      <w:pPr>
        <w:tabs>
          <w:tab w:val="num" w:pos="1320"/>
        </w:tabs>
        <w:ind w:left="1320" w:hanging="360"/>
      </w:pPr>
      <w:rPr>
        <w:rFonts w:ascii="Times New Roman" w:eastAsia="Times New Roman" w:hAnsi="Times New Roman" w:cs="Times New Roman"/>
        <w:lang w:val="en-US"/>
      </w:rPr>
    </w:lvl>
    <w:lvl w:ilvl="1" w:tplc="04090017" w:tentative="1">
      <w:start w:val="1"/>
      <w:numFmt w:val="aiueoFullWidth"/>
      <w:lvlText w:val="(%2)"/>
      <w:lvlJc w:val="left"/>
      <w:pPr>
        <w:tabs>
          <w:tab w:val="num" w:pos="1800"/>
        </w:tabs>
        <w:ind w:left="1800" w:hanging="420"/>
      </w:pPr>
    </w:lvl>
    <w:lvl w:ilvl="2" w:tplc="04090011" w:tentative="1">
      <w:start w:val="1"/>
      <w:numFmt w:val="decimalEnclosedCircle"/>
      <w:lvlText w:val="%3"/>
      <w:lvlJc w:val="left"/>
      <w:pPr>
        <w:tabs>
          <w:tab w:val="num" w:pos="2220"/>
        </w:tabs>
        <w:ind w:left="2220" w:hanging="420"/>
      </w:pPr>
    </w:lvl>
    <w:lvl w:ilvl="3" w:tplc="0409000F" w:tentative="1">
      <w:start w:val="1"/>
      <w:numFmt w:val="decimal"/>
      <w:lvlText w:val="%4."/>
      <w:lvlJc w:val="left"/>
      <w:pPr>
        <w:tabs>
          <w:tab w:val="num" w:pos="2640"/>
        </w:tabs>
        <w:ind w:left="2640" w:hanging="420"/>
      </w:pPr>
    </w:lvl>
    <w:lvl w:ilvl="4" w:tplc="04090017" w:tentative="1">
      <w:start w:val="1"/>
      <w:numFmt w:val="aiueoFullWidth"/>
      <w:lvlText w:val="(%5)"/>
      <w:lvlJc w:val="left"/>
      <w:pPr>
        <w:tabs>
          <w:tab w:val="num" w:pos="3060"/>
        </w:tabs>
        <w:ind w:left="3060" w:hanging="420"/>
      </w:pPr>
    </w:lvl>
    <w:lvl w:ilvl="5" w:tplc="04090011" w:tentative="1">
      <w:start w:val="1"/>
      <w:numFmt w:val="decimalEnclosedCircle"/>
      <w:lvlText w:val="%6"/>
      <w:lvlJc w:val="left"/>
      <w:pPr>
        <w:tabs>
          <w:tab w:val="num" w:pos="3480"/>
        </w:tabs>
        <w:ind w:left="3480" w:hanging="420"/>
      </w:pPr>
    </w:lvl>
    <w:lvl w:ilvl="6" w:tplc="0409000F" w:tentative="1">
      <w:start w:val="1"/>
      <w:numFmt w:val="decimal"/>
      <w:lvlText w:val="%7."/>
      <w:lvlJc w:val="left"/>
      <w:pPr>
        <w:tabs>
          <w:tab w:val="num" w:pos="3900"/>
        </w:tabs>
        <w:ind w:left="3900" w:hanging="420"/>
      </w:pPr>
    </w:lvl>
    <w:lvl w:ilvl="7" w:tplc="04090017" w:tentative="1">
      <w:start w:val="1"/>
      <w:numFmt w:val="aiueoFullWidth"/>
      <w:lvlText w:val="(%8)"/>
      <w:lvlJc w:val="left"/>
      <w:pPr>
        <w:tabs>
          <w:tab w:val="num" w:pos="4320"/>
        </w:tabs>
        <w:ind w:left="4320" w:hanging="420"/>
      </w:pPr>
    </w:lvl>
    <w:lvl w:ilvl="8" w:tplc="04090011" w:tentative="1">
      <w:start w:val="1"/>
      <w:numFmt w:val="decimalEnclosedCircle"/>
      <w:lvlText w:val="%9"/>
      <w:lvlJc w:val="left"/>
      <w:pPr>
        <w:tabs>
          <w:tab w:val="num" w:pos="4740"/>
        </w:tabs>
        <w:ind w:left="4740" w:hanging="420"/>
      </w:pPr>
    </w:lvl>
  </w:abstractNum>
  <w:abstractNum w:abstractNumId="12" w15:restartNumberingAfterBreak="0">
    <w:nsid w:val="336276C1"/>
    <w:multiLevelType w:val="hybridMultilevel"/>
    <w:tmpl w:val="B97C7192"/>
    <w:lvl w:ilvl="0" w:tplc="7FC668E0">
      <w:start w:val="1"/>
      <w:numFmt w:val="decimalEnclosedCircle"/>
      <w:lvlText w:val="%1"/>
      <w:lvlJc w:val="left"/>
      <w:pPr>
        <w:tabs>
          <w:tab w:val="num" w:pos="975"/>
        </w:tabs>
        <w:ind w:left="975" w:hanging="495"/>
      </w:pPr>
      <w:rPr>
        <w:rFonts w:hint="default"/>
        <w:b w:val="0"/>
      </w:rPr>
    </w:lvl>
    <w:lvl w:ilvl="1" w:tplc="04090017" w:tentative="1">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13" w15:restartNumberingAfterBreak="0">
    <w:nsid w:val="33FF097D"/>
    <w:multiLevelType w:val="hybridMultilevel"/>
    <w:tmpl w:val="E97259CA"/>
    <w:lvl w:ilvl="0" w:tplc="105261D0">
      <w:numFmt w:val="bullet"/>
      <w:lvlText w:val="■"/>
      <w:lvlJc w:val="left"/>
      <w:pPr>
        <w:tabs>
          <w:tab w:val="num" w:pos="420"/>
        </w:tabs>
        <w:ind w:left="420" w:hanging="420"/>
      </w:pPr>
      <w:rPr>
        <w:rFonts w:ascii="ＭＳ 明朝" w:eastAsia="ＭＳ 明朝" w:hAnsi="ＭＳ 明朝" w:cs="Times New Roman" w:hint="eastAsia"/>
        <w:b w:val="0"/>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34974939"/>
    <w:multiLevelType w:val="hybridMultilevel"/>
    <w:tmpl w:val="819CB8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AC602C"/>
    <w:multiLevelType w:val="hybridMultilevel"/>
    <w:tmpl w:val="A81EFD16"/>
    <w:lvl w:ilvl="0" w:tplc="984C3BA6">
      <w:start w:val="1"/>
      <w:numFmt w:val="decimalEnclosedCircle"/>
      <w:lvlText w:val="%1"/>
      <w:lvlJc w:val="left"/>
      <w:pPr>
        <w:ind w:left="690" w:hanging="360"/>
      </w:pPr>
      <w:rPr>
        <w:rFonts w:hint="default"/>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16" w15:restartNumberingAfterBreak="0">
    <w:nsid w:val="38FB3905"/>
    <w:multiLevelType w:val="hybridMultilevel"/>
    <w:tmpl w:val="B65EA3D0"/>
    <w:lvl w:ilvl="0" w:tplc="353CC6CA">
      <w:start w:val="1"/>
      <w:numFmt w:val="decimalEnclosedCircle"/>
      <w:lvlText w:val="%1"/>
      <w:lvlJc w:val="left"/>
      <w:pPr>
        <w:tabs>
          <w:tab w:val="num" w:pos="1200"/>
        </w:tabs>
        <w:ind w:left="1200" w:hanging="48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17" w15:restartNumberingAfterBreak="0">
    <w:nsid w:val="3B253FE8"/>
    <w:multiLevelType w:val="hybridMultilevel"/>
    <w:tmpl w:val="8F52C232"/>
    <w:lvl w:ilvl="0" w:tplc="9C5CEBB8">
      <w:start w:val="5"/>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8" w15:restartNumberingAfterBreak="0">
    <w:nsid w:val="3B2B21F6"/>
    <w:multiLevelType w:val="hybridMultilevel"/>
    <w:tmpl w:val="70586124"/>
    <w:lvl w:ilvl="0" w:tplc="A8C63270">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9" w15:restartNumberingAfterBreak="0">
    <w:nsid w:val="3B821D9F"/>
    <w:multiLevelType w:val="hybridMultilevel"/>
    <w:tmpl w:val="5FEC4DDA"/>
    <w:lvl w:ilvl="0" w:tplc="94EA78F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3CD21284"/>
    <w:multiLevelType w:val="hybridMultilevel"/>
    <w:tmpl w:val="00A65FB6"/>
    <w:lvl w:ilvl="0" w:tplc="41FE1126">
      <w:start w:val="1"/>
      <w:numFmt w:val="decimalEnclosedCircle"/>
      <w:lvlText w:val="%1"/>
      <w:lvlJc w:val="left"/>
      <w:pPr>
        <w:tabs>
          <w:tab w:val="num" w:pos="1200"/>
        </w:tabs>
        <w:ind w:left="1200" w:hanging="480"/>
      </w:pPr>
      <w:rPr>
        <w:rFonts w:ascii="Century" w:eastAsia="ＭＳ 明朝" w:hAnsi="Century" w:cs="Times New Roman"/>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21" w15:restartNumberingAfterBreak="0">
    <w:nsid w:val="3D0E0FD8"/>
    <w:multiLevelType w:val="hybridMultilevel"/>
    <w:tmpl w:val="22741550"/>
    <w:lvl w:ilvl="0" w:tplc="77D825BC">
      <w:start w:val="1"/>
      <w:numFmt w:val="decimalFullWidth"/>
      <w:lvlText w:val="（%1）"/>
      <w:lvlJc w:val="left"/>
      <w:pPr>
        <w:tabs>
          <w:tab w:val="num" w:pos="1200"/>
        </w:tabs>
        <w:ind w:left="1200" w:hanging="720"/>
      </w:pPr>
      <w:rPr>
        <w:rFonts w:hint="default"/>
      </w:rPr>
    </w:lvl>
    <w:lvl w:ilvl="1" w:tplc="04090017">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22" w15:restartNumberingAfterBreak="0">
    <w:nsid w:val="4208018D"/>
    <w:multiLevelType w:val="hybridMultilevel"/>
    <w:tmpl w:val="8E503890"/>
    <w:lvl w:ilvl="0" w:tplc="563E1CF6">
      <w:start w:val="1"/>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48B161D5"/>
    <w:multiLevelType w:val="hybridMultilevel"/>
    <w:tmpl w:val="DD1E5948"/>
    <w:lvl w:ilvl="0" w:tplc="0ED2F056">
      <w:start w:val="7"/>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4" w15:restartNumberingAfterBreak="0">
    <w:nsid w:val="4B2622BD"/>
    <w:multiLevelType w:val="hybridMultilevel"/>
    <w:tmpl w:val="E0107B14"/>
    <w:lvl w:ilvl="0" w:tplc="388CD15A">
      <w:start w:val="1"/>
      <w:numFmt w:val="decimalEnclosedCircle"/>
      <w:lvlText w:val="%1"/>
      <w:lvlJc w:val="left"/>
      <w:pPr>
        <w:tabs>
          <w:tab w:val="num" w:pos="1110"/>
        </w:tabs>
        <w:ind w:left="1110" w:hanging="480"/>
      </w:pPr>
      <w:rPr>
        <w:rFonts w:ascii="Times New Roman" w:eastAsia="Times New Roman" w:hAnsi="Times New Roman" w:cs="Times New Roman"/>
        <w:color w:val="auto"/>
      </w:rPr>
    </w:lvl>
    <w:lvl w:ilvl="1" w:tplc="04090017" w:tentative="1">
      <w:start w:val="1"/>
      <w:numFmt w:val="aiueoFullWidth"/>
      <w:lvlText w:val="(%2)"/>
      <w:lvlJc w:val="left"/>
      <w:pPr>
        <w:tabs>
          <w:tab w:val="num" w:pos="1470"/>
        </w:tabs>
        <w:ind w:left="1470" w:hanging="420"/>
      </w:pPr>
    </w:lvl>
    <w:lvl w:ilvl="2" w:tplc="04090011" w:tentative="1">
      <w:start w:val="1"/>
      <w:numFmt w:val="decimalEnclosedCircle"/>
      <w:lvlText w:val="%3"/>
      <w:lvlJc w:val="left"/>
      <w:pPr>
        <w:tabs>
          <w:tab w:val="num" w:pos="1890"/>
        </w:tabs>
        <w:ind w:left="1890" w:hanging="420"/>
      </w:pPr>
    </w:lvl>
    <w:lvl w:ilvl="3" w:tplc="0409000F" w:tentative="1">
      <w:start w:val="1"/>
      <w:numFmt w:val="decimal"/>
      <w:lvlText w:val="%4."/>
      <w:lvlJc w:val="left"/>
      <w:pPr>
        <w:tabs>
          <w:tab w:val="num" w:pos="2310"/>
        </w:tabs>
        <w:ind w:left="2310" w:hanging="420"/>
      </w:pPr>
    </w:lvl>
    <w:lvl w:ilvl="4" w:tplc="04090017" w:tentative="1">
      <w:start w:val="1"/>
      <w:numFmt w:val="aiueoFullWidth"/>
      <w:lvlText w:val="(%5)"/>
      <w:lvlJc w:val="left"/>
      <w:pPr>
        <w:tabs>
          <w:tab w:val="num" w:pos="2730"/>
        </w:tabs>
        <w:ind w:left="2730" w:hanging="420"/>
      </w:pPr>
    </w:lvl>
    <w:lvl w:ilvl="5" w:tplc="04090011" w:tentative="1">
      <w:start w:val="1"/>
      <w:numFmt w:val="decimalEnclosedCircle"/>
      <w:lvlText w:val="%6"/>
      <w:lvlJc w:val="left"/>
      <w:pPr>
        <w:tabs>
          <w:tab w:val="num" w:pos="3150"/>
        </w:tabs>
        <w:ind w:left="3150" w:hanging="420"/>
      </w:pPr>
    </w:lvl>
    <w:lvl w:ilvl="6" w:tplc="0409000F" w:tentative="1">
      <w:start w:val="1"/>
      <w:numFmt w:val="decimal"/>
      <w:lvlText w:val="%7."/>
      <w:lvlJc w:val="left"/>
      <w:pPr>
        <w:tabs>
          <w:tab w:val="num" w:pos="3570"/>
        </w:tabs>
        <w:ind w:left="3570" w:hanging="420"/>
      </w:pPr>
    </w:lvl>
    <w:lvl w:ilvl="7" w:tplc="04090017" w:tentative="1">
      <w:start w:val="1"/>
      <w:numFmt w:val="aiueoFullWidth"/>
      <w:lvlText w:val="(%8)"/>
      <w:lvlJc w:val="left"/>
      <w:pPr>
        <w:tabs>
          <w:tab w:val="num" w:pos="3990"/>
        </w:tabs>
        <w:ind w:left="3990" w:hanging="420"/>
      </w:pPr>
    </w:lvl>
    <w:lvl w:ilvl="8" w:tplc="04090011" w:tentative="1">
      <w:start w:val="1"/>
      <w:numFmt w:val="decimalEnclosedCircle"/>
      <w:lvlText w:val="%9"/>
      <w:lvlJc w:val="left"/>
      <w:pPr>
        <w:tabs>
          <w:tab w:val="num" w:pos="4410"/>
        </w:tabs>
        <w:ind w:left="4410" w:hanging="420"/>
      </w:pPr>
    </w:lvl>
  </w:abstractNum>
  <w:abstractNum w:abstractNumId="25" w15:restartNumberingAfterBreak="0">
    <w:nsid w:val="4B3E4313"/>
    <w:multiLevelType w:val="multilevel"/>
    <w:tmpl w:val="68C4B266"/>
    <w:lvl w:ilvl="0">
      <w:start w:val="1"/>
      <w:numFmt w:val="decimalFullWidth"/>
      <w:lvlText w:val="（%1）"/>
      <w:lvlJc w:val="left"/>
      <w:pPr>
        <w:tabs>
          <w:tab w:val="num" w:pos="578"/>
        </w:tabs>
        <w:ind w:left="578" w:hanging="720"/>
      </w:pPr>
      <w:rPr>
        <w:rFonts w:hint="default"/>
      </w:rPr>
    </w:lvl>
    <w:lvl w:ilvl="1">
      <w:start w:val="1"/>
      <w:numFmt w:val="aiueoFullWidth"/>
      <w:lvlText w:val="(%2)"/>
      <w:lvlJc w:val="left"/>
      <w:pPr>
        <w:tabs>
          <w:tab w:val="num" w:pos="698"/>
        </w:tabs>
        <w:ind w:left="698" w:hanging="420"/>
      </w:pPr>
    </w:lvl>
    <w:lvl w:ilvl="2">
      <w:start w:val="1"/>
      <w:numFmt w:val="decimalEnclosedCircle"/>
      <w:lvlText w:val="%3"/>
      <w:lvlJc w:val="left"/>
      <w:pPr>
        <w:tabs>
          <w:tab w:val="num" w:pos="1118"/>
        </w:tabs>
        <w:ind w:left="1118" w:hanging="420"/>
      </w:pPr>
    </w:lvl>
    <w:lvl w:ilvl="3">
      <w:start w:val="1"/>
      <w:numFmt w:val="decimal"/>
      <w:lvlText w:val="%4."/>
      <w:lvlJc w:val="left"/>
      <w:pPr>
        <w:tabs>
          <w:tab w:val="num" w:pos="1538"/>
        </w:tabs>
        <w:ind w:left="1538" w:hanging="420"/>
      </w:pPr>
    </w:lvl>
    <w:lvl w:ilvl="4">
      <w:start w:val="1"/>
      <w:numFmt w:val="aiueoFullWidth"/>
      <w:lvlText w:val="(%5)"/>
      <w:lvlJc w:val="left"/>
      <w:pPr>
        <w:tabs>
          <w:tab w:val="num" w:pos="1958"/>
        </w:tabs>
        <w:ind w:left="1958" w:hanging="420"/>
      </w:pPr>
    </w:lvl>
    <w:lvl w:ilvl="5">
      <w:start w:val="1"/>
      <w:numFmt w:val="decimalEnclosedCircle"/>
      <w:lvlText w:val="%6"/>
      <w:lvlJc w:val="left"/>
      <w:pPr>
        <w:tabs>
          <w:tab w:val="num" w:pos="2378"/>
        </w:tabs>
        <w:ind w:left="2378" w:hanging="420"/>
      </w:pPr>
    </w:lvl>
    <w:lvl w:ilvl="6">
      <w:start w:val="1"/>
      <w:numFmt w:val="decimal"/>
      <w:lvlText w:val="%7."/>
      <w:lvlJc w:val="left"/>
      <w:pPr>
        <w:tabs>
          <w:tab w:val="num" w:pos="2798"/>
        </w:tabs>
        <w:ind w:left="2798" w:hanging="420"/>
      </w:pPr>
    </w:lvl>
    <w:lvl w:ilvl="7">
      <w:start w:val="1"/>
      <w:numFmt w:val="aiueoFullWidth"/>
      <w:lvlText w:val="(%8)"/>
      <w:lvlJc w:val="left"/>
      <w:pPr>
        <w:tabs>
          <w:tab w:val="num" w:pos="3218"/>
        </w:tabs>
        <w:ind w:left="3218" w:hanging="420"/>
      </w:pPr>
    </w:lvl>
    <w:lvl w:ilvl="8">
      <w:start w:val="1"/>
      <w:numFmt w:val="decimalEnclosedCircle"/>
      <w:lvlText w:val="%9"/>
      <w:lvlJc w:val="left"/>
      <w:pPr>
        <w:tabs>
          <w:tab w:val="num" w:pos="3638"/>
        </w:tabs>
        <w:ind w:left="3638" w:hanging="420"/>
      </w:pPr>
    </w:lvl>
  </w:abstractNum>
  <w:abstractNum w:abstractNumId="26" w15:restartNumberingAfterBreak="0">
    <w:nsid w:val="4EC63DD7"/>
    <w:multiLevelType w:val="hybridMultilevel"/>
    <w:tmpl w:val="8084B1C8"/>
    <w:lvl w:ilvl="0" w:tplc="7C16D060">
      <w:start w:val="1"/>
      <w:numFmt w:val="decimalFullWidth"/>
      <w:lvlText w:val="第%1章"/>
      <w:lvlJc w:val="left"/>
      <w:pPr>
        <w:tabs>
          <w:tab w:val="num" w:pos="960"/>
        </w:tabs>
        <w:ind w:left="960" w:hanging="9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7" w15:restartNumberingAfterBreak="0">
    <w:nsid w:val="4F4C4C9E"/>
    <w:multiLevelType w:val="hybridMultilevel"/>
    <w:tmpl w:val="F3CEDF9A"/>
    <w:lvl w:ilvl="0" w:tplc="3C0C2BD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3B87956"/>
    <w:multiLevelType w:val="hybridMultilevel"/>
    <w:tmpl w:val="00F2AAFC"/>
    <w:lvl w:ilvl="0" w:tplc="4C4A24F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9" w15:restartNumberingAfterBreak="0">
    <w:nsid w:val="559A2D48"/>
    <w:multiLevelType w:val="hybridMultilevel"/>
    <w:tmpl w:val="224AD0E4"/>
    <w:lvl w:ilvl="0" w:tplc="9432E12E">
      <w:start w:val="6"/>
      <w:numFmt w:val="decimalFullWidth"/>
      <w:lvlText w:val="（%1）"/>
      <w:lvlJc w:val="left"/>
      <w:pPr>
        <w:tabs>
          <w:tab w:val="num" w:pos="1262"/>
        </w:tabs>
        <w:ind w:left="1262" w:hanging="720"/>
      </w:pPr>
      <w:rPr>
        <w:rFonts w:hint="default"/>
      </w:rPr>
    </w:lvl>
    <w:lvl w:ilvl="1" w:tplc="04090017" w:tentative="1">
      <w:start w:val="1"/>
      <w:numFmt w:val="aiueoFullWidth"/>
      <w:lvlText w:val="(%2)"/>
      <w:lvlJc w:val="left"/>
      <w:pPr>
        <w:tabs>
          <w:tab w:val="num" w:pos="1382"/>
        </w:tabs>
        <w:ind w:left="1382" w:hanging="420"/>
      </w:pPr>
    </w:lvl>
    <w:lvl w:ilvl="2" w:tplc="04090011" w:tentative="1">
      <w:start w:val="1"/>
      <w:numFmt w:val="decimalEnclosedCircle"/>
      <w:lvlText w:val="%3"/>
      <w:lvlJc w:val="left"/>
      <w:pPr>
        <w:tabs>
          <w:tab w:val="num" w:pos="1802"/>
        </w:tabs>
        <w:ind w:left="1802" w:hanging="420"/>
      </w:pPr>
    </w:lvl>
    <w:lvl w:ilvl="3" w:tplc="0409000F" w:tentative="1">
      <w:start w:val="1"/>
      <w:numFmt w:val="decimal"/>
      <w:lvlText w:val="%4."/>
      <w:lvlJc w:val="left"/>
      <w:pPr>
        <w:tabs>
          <w:tab w:val="num" w:pos="2222"/>
        </w:tabs>
        <w:ind w:left="2222" w:hanging="420"/>
      </w:pPr>
    </w:lvl>
    <w:lvl w:ilvl="4" w:tplc="04090017" w:tentative="1">
      <w:start w:val="1"/>
      <w:numFmt w:val="aiueoFullWidth"/>
      <w:lvlText w:val="(%5)"/>
      <w:lvlJc w:val="left"/>
      <w:pPr>
        <w:tabs>
          <w:tab w:val="num" w:pos="2642"/>
        </w:tabs>
        <w:ind w:left="2642" w:hanging="420"/>
      </w:pPr>
    </w:lvl>
    <w:lvl w:ilvl="5" w:tplc="04090011" w:tentative="1">
      <w:start w:val="1"/>
      <w:numFmt w:val="decimalEnclosedCircle"/>
      <w:lvlText w:val="%6"/>
      <w:lvlJc w:val="left"/>
      <w:pPr>
        <w:tabs>
          <w:tab w:val="num" w:pos="3062"/>
        </w:tabs>
        <w:ind w:left="3062" w:hanging="420"/>
      </w:pPr>
    </w:lvl>
    <w:lvl w:ilvl="6" w:tplc="0409000F" w:tentative="1">
      <w:start w:val="1"/>
      <w:numFmt w:val="decimal"/>
      <w:lvlText w:val="%7."/>
      <w:lvlJc w:val="left"/>
      <w:pPr>
        <w:tabs>
          <w:tab w:val="num" w:pos="3482"/>
        </w:tabs>
        <w:ind w:left="3482" w:hanging="420"/>
      </w:pPr>
    </w:lvl>
    <w:lvl w:ilvl="7" w:tplc="04090017" w:tentative="1">
      <w:start w:val="1"/>
      <w:numFmt w:val="aiueoFullWidth"/>
      <w:lvlText w:val="(%8)"/>
      <w:lvlJc w:val="left"/>
      <w:pPr>
        <w:tabs>
          <w:tab w:val="num" w:pos="3902"/>
        </w:tabs>
        <w:ind w:left="3902" w:hanging="420"/>
      </w:pPr>
    </w:lvl>
    <w:lvl w:ilvl="8" w:tplc="04090011" w:tentative="1">
      <w:start w:val="1"/>
      <w:numFmt w:val="decimalEnclosedCircle"/>
      <w:lvlText w:val="%9"/>
      <w:lvlJc w:val="left"/>
      <w:pPr>
        <w:tabs>
          <w:tab w:val="num" w:pos="4322"/>
        </w:tabs>
        <w:ind w:left="4322" w:hanging="420"/>
      </w:pPr>
    </w:lvl>
  </w:abstractNum>
  <w:abstractNum w:abstractNumId="30" w15:restartNumberingAfterBreak="0">
    <w:nsid w:val="5A0F3B8D"/>
    <w:multiLevelType w:val="hybridMultilevel"/>
    <w:tmpl w:val="F1CCA016"/>
    <w:lvl w:ilvl="0" w:tplc="5868F378">
      <w:start w:val="1"/>
      <w:numFmt w:val="decimalEnclosedCircle"/>
      <w:lvlText w:val="%1"/>
      <w:lvlJc w:val="left"/>
      <w:pPr>
        <w:tabs>
          <w:tab w:val="num" w:pos="660"/>
        </w:tabs>
        <w:ind w:left="660" w:hanging="4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1" w15:restartNumberingAfterBreak="0">
    <w:nsid w:val="5B650736"/>
    <w:multiLevelType w:val="multilevel"/>
    <w:tmpl w:val="F6781C20"/>
    <w:lvl w:ilvl="0">
      <w:start w:val="1"/>
      <w:numFmt w:val="decimalFullWidth"/>
      <w:lvlText w:val="（%1）"/>
      <w:lvlJc w:val="left"/>
      <w:pPr>
        <w:tabs>
          <w:tab w:val="num" w:pos="1262"/>
        </w:tabs>
        <w:ind w:left="1262" w:hanging="720"/>
      </w:pPr>
      <w:rPr>
        <w:rFonts w:hint="default"/>
      </w:rPr>
    </w:lvl>
    <w:lvl w:ilvl="1">
      <w:start w:val="1"/>
      <w:numFmt w:val="bullet"/>
      <w:lvlText w:val="※"/>
      <w:lvlJc w:val="left"/>
      <w:pPr>
        <w:tabs>
          <w:tab w:val="num" w:pos="1322"/>
        </w:tabs>
        <w:ind w:left="1322" w:hanging="360"/>
      </w:pPr>
      <w:rPr>
        <w:rFonts w:ascii="ＭＳ 明朝" w:eastAsia="ＭＳ 明朝" w:hAnsi="ＭＳ 明朝" w:cs="Times New Roman" w:hint="eastAsia"/>
      </w:rPr>
    </w:lvl>
    <w:lvl w:ilvl="2">
      <w:start w:val="30"/>
      <w:numFmt w:val="decimal"/>
      <w:lvlText w:val="第%3条"/>
      <w:lvlJc w:val="left"/>
      <w:pPr>
        <w:tabs>
          <w:tab w:val="num" w:pos="2327"/>
        </w:tabs>
        <w:ind w:left="2327" w:hanging="945"/>
      </w:pPr>
      <w:rPr>
        <w:rFonts w:hint="default"/>
      </w:rPr>
    </w:lvl>
    <w:lvl w:ilvl="3">
      <w:start w:val="30"/>
      <w:numFmt w:val="bullet"/>
      <w:lvlText w:val="・"/>
      <w:lvlJc w:val="left"/>
      <w:pPr>
        <w:tabs>
          <w:tab w:val="num" w:pos="2162"/>
        </w:tabs>
        <w:ind w:left="2162" w:hanging="360"/>
      </w:pPr>
      <w:rPr>
        <w:rFonts w:ascii="ＭＳ ゴシック" w:eastAsia="ＭＳ ゴシック" w:hAnsi="ＭＳ ゴシック" w:cs="Times New Roman" w:hint="eastAsia"/>
      </w:rPr>
    </w:lvl>
    <w:lvl w:ilvl="4">
      <w:start w:val="1"/>
      <w:numFmt w:val="aiueoFullWidth"/>
      <w:lvlText w:val="(%5)"/>
      <w:lvlJc w:val="left"/>
      <w:pPr>
        <w:tabs>
          <w:tab w:val="num" w:pos="2642"/>
        </w:tabs>
        <w:ind w:left="2642" w:hanging="420"/>
      </w:pPr>
    </w:lvl>
    <w:lvl w:ilvl="5">
      <w:start w:val="1"/>
      <w:numFmt w:val="decimalEnclosedCircle"/>
      <w:lvlText w:val="%6"/>
      <w:lvlJc w:val="left"/>
      <w:pPr>
        <w:tabs>
          <w:tab w:val="num" w:pos="3062"/>
        </w:tabs>
        <w:ind w:left="3062" w:hanging="420"/>
      </w:pPr>
    </w:lvl>
    <w:lvl w:ilvl="6">
      <w:start w:val="1"/>
      <w:numFmt w:val="decimal"/>
      <w:lvlText w:val="%7."/>
      <w:lvlJc w:val="left"/>
      <w:pPr>
        <w:tabs>
          <w:tab w:val="num" w:pos="3482"/>
        </w:tabs>
        <w:ind w:left="3482" w:hanging="420"/>
      </w:pPr>
    </w:lvl>
    <w:lvl w:ilvl="7">
      <w:start w:val="1"/>
      <w:numFmt w:val="aiueoFullWidth"/>
      <w:lvlText w:val="(%8)"/>
      <w:lvlJc w:val="left"/>
      <w:pPr>
        <w:tabs>
          <w:tab w:val="num" w:pos="3902"/>
        </w:tabs>
        <w:ind w:left="3902" w:hanging="420"/>
      </w:pPr>
    </w:lvl>
    <w:lvl w:ilvl="8">
      <w:start w:val="1"/>
      <w:numFmt w:val="decimalEnclosedCircle"/>
      <w:lvlText w:val="%9"/>
      <w:lvlJc w:val="left"/>
      <w:pPr>
        <w:tabs>
          <w:tab w:val="num" w:pos="4322"/>
        </w:tabs>
        <w:ind w:left="4322" w:hanging="420"/>
      </w:pPr>
    </w:lvl>
  </w:abstractNum>
  <w:abstractNum w:abstractNumId="32" w15:restartNumberingAfterBreak="0">
    <w:nsid w:val="5B6D3A2B"/>
    <w:multiLevelType w:val="hybridMultilevel"/>
    <w:tmpl w:val="44BE9AF8"/>
    <w:lvl w:ilvl="0" w:tplc="A6F81142">
      <w:start w:val="1"/>
      <w:numFmt w:val="decimalEnclosedCircle"/>
      <w:lvlText w:val="%1"/>
      <w:lvlJc w:val="left"/>
      <w:pPr>
        <w:ind w:left="360" w:hanging="360"/>
      </w:pPr>
      <w:rPr>
        <w:rFonts w:hint="default"/>
        <w:sz w:val="28"/>
        <w:szCs w:val="28"/>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5FD4131F"/>
    <w:multiLevelType w:val="hybridMultilevel"/>
    <w:tmpl w:val="66D20E5E"/>
    <w:lvl w:ilvl="0" w:tplc="2D7E9706">
      <w:start w:val="4"/>
      <w:numFmt w:val="bullet"/>
      <w:lvlText w:val="・"/>
      <w:lvlJc w:val="left"/>
      <w:pPr>
        <w:ind w:left="1155" w:hanging="360"/>
      </w:pPr>
      <w:rPr>
        <w:rFonts w:ascii="ＭＳ ゴシック" w:eastAsia="ＭＳ ゴシック" w:hAnsi="ＭＳ ゴシック" w:cs="Meiryo UI" w:hint="eastAsia"/>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34" w15:restartNumberingAfterBreak="0">
    <w:nsid w:val="605A25EA"/>
    <w:multiLevelType w:val="hybridMultilevel"/>
    <w:tmpl w:val="7636598A"/>
    <w:lvl w:ilvl="0" w:tplc="EAB60E6A">
      <w:start w:val="1"/>
      <w:numFmt w:val="decimalFullWidth"/>
      <w:lvlText w:val="（%1）"/>
      <w:lvlJc w:val="left"/>
      <w:pPr>
        <w:tabs>
          <w:tab w:val="num" w:pos="818"/>
        </w:tabs>
        <w:ind w:left="818" w:hanging="72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5" w15:restartNumberingAfterBreak="0">
    <w:nsid w:val="61D629EC"/>
    <w:multiLevelType w:val="hybridMultilevel"/>
    <w:tmpl w:val="A50C512A"/>
    <w:lvl w:ilvl="0" w:tplc="061A6E8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B2E02AA"/>
    <w:multiLevelType w:val="hybridMultilevel"/>
    <w:tmpl w:val="386CEA2C"/>
    <w:lvl w:ilvl="0" w:tplc="441410FC">
      <w:start w:val="1"/>
      <w:numFmt w:val="decimalFullWidth"/>
      <w:lvlText w:val="（%1）"/>
      <w:lvlJc w:val="left"/>
      <w:pPr>
        <w:tabs>
          <w:tab w:val="num" w:pos="900"/>
        </w:tabs>
        <w:ind w:left="900" w:hanging="720"/>
      </w:pPr>
      <w:rPr>
        <w:rFonts w:ascii="Times New Roman" w:eastAsia="Times New Roman" w:hAnsi="Times New Roman" w:cs="Times New Roman"/>
      </w:rPr>
    </w:lvl>
    <w:lvl w:ilvl="1" w:tplc="501CBF4C">
      <w:start w:val="2"/>
      <w:numFmt w:val="decimalFullWidth"/>
      <w:lvlText w:val="（%2）"/>
      <w:lvlJc w:val="left"/>
      <w:pPr>
        <w:tabs>
          <w:tab w:val="num" w:pos="1320"/>
        </w:tabs>
        <w:ind w:left="1320" w:hanging="720"/>
      </w:pPr>
      <w:rPr>
        <w:rFonts w:hint="default"/>
      </w:rPr>
    </w:lvl>
    <w:lvl w:ilvl="2" w:tplc="4CBAD7C4">
      <w:start w:val="1"/>
      <w:numFmt w:val="decimal"/>
      <w:lvlText w:val="(%3)"/>
      <w:lvlJc w:val="left"/>
      <w:pPr>
        <w:tabs>
          <w:tab w:val="num" w:pos="1740"/>
        </w:tabs>
        <w:ind w:left="1740" w:hanging="720"/>
      </w:pPr>
      <w:rPr>
        <w:rFonts w:hint="default"/>
      </w:rPr>
    </w:lvl>
    <w:lvl w:ilvl="3" w:tplc="0409000F" w:tentative="1">
      <w:start w:val="1"/>
      <w:numFmt w:val="decimal"/>
      <w:lvlText w:val="%4."/>
      <w:lvlJc w:val="left"/>
      <w:pPr>
        <w:tabs>
          <w:tab w:val="num" w:pos="1860"/>
        </w:tabs>
        <w:ind w:left="1860" w:hanging="420"/>
      </w:pPr>
    </w:lvl>
    <w:lvl w:ilvl="4" w:tplc="04090017" w:tentative="1">
      <w:start w:val="1"/>
      <w:numFmt w:val="aiueoFullWidth"/>
      <w:lvlText w:val="(%5)"/>
      <w:lvlJc w:val="left"/>
      <w:pPr>
        <w:tabs>
          <w:tab w:val="num" w:pos="2280"/>
        </w:tabs>
        <w:ind w:left="2280" w:hanging="420"/>
      </w:pPr>
    </w:lvl>
    <w:lvl w:ilvl="5" w:tplc="04090011" w:tentative="1">
      <w:start w:val="1"/>
      <w:numFmt w:val="decimalEnclosedCircle"/>
      <w:lvlText w:val="%6"/>
      <w:lvlJc w:val="left"/>
      <w:pPr>
        <w:tabs>
          <w:tab w:val="num" w:pos="2700"/>
        </w:tabs>
        <w:ind w:left="2700" w:hanging="420"/>
      </w:pPr>
    </w:lvl>
    <w:lvl w:ilvl="6" w:tplc="0409000F" w:tentative="1">
      <w:start w:val="1"/>
      <w:numFmt w:val="decimal"/>
      <w:lvlText w:val="%7."/>
      <w:lvlJc w:val="left"/>
      <w:pPr>
        <w:tabs>
          <w:tab w:val="num" w:pos="3120"/>
        </w:tabs>
        <w:ind w:left="3120" w:hanging="420"/>
      </w:pPr>
    </w:lvl>
    <w:lvl w:ilvl="7" w:tplc="04090017" w:tentative="1">
      <w:start w:val="1"/>
      <w:numFmt w:val="aiueoFullWidth"/>
      <w:lvlText w:val="(%8)"/>
      <w:lvlJc w:val="left"/>
      <w:pPr>
        <w:tabs>
          <w:tab w:val="num" w:pos="3540"/>
        </w:tabs>
        <w:ind w:left="3540" w:hanging="420"/>
      </w:pPr>
    </w:lvl>
    <w:lvl w:ilvl="8" w:tplc="04090011" w:tentative="1">
      <w:start w:val="1"/>
      <w:numFmt w:val="decimalEnclosedCircle"/>
      <w:lvlText w:val="%9"/>
      <w:lvlJc w:val="left"/>
      <w:pPr>
        <w:tabs>
          <w:tab w:val="num" w:pos="3960"/>
        </w:tabs>
        <w:ind w:left="3960" w:hanging="420"/>
      </w:pPr>
    </w:lvl>
  </w:abstractNum>
  <w:abstractNum w:abstractNumId="37" w15:restartNumberingAfterBreak="0">
    <w:nsid w:val="6EE16E17"/>
    <w:multiLevelType w:val="hybridMultilevel"/>
    <w:tmpl w:val="4AA8A5CA"/>
    <w:lvl w:ilvl="0" w:tplc="1F42849E">
      <w:start w:val="1"/>
      <w:numFmt w:val="decimalFullWidth"/>
      <w:lvlText w:val="（%1）"/>
      <w:lvlJc w:val="left"/>
      <w:pPr>
        <w:tabs>
          <w:tab w:val="num" w:pos="1440"/>
        </w:tabs>
        <w:ind w:left="1440" w:hanging="720"/>
      </w:pPr>
      <w:rPr>
        <w:rFonts w:hint="default"/>
      </w:rPr>
    </w:lvl>
    <w:lvl w:ilvl="1" w:tplc="04090017" w:tentative="1">
      <w:start w:val="1"/>
      <w:numFmt w:val="aiueoFullWidth"/>
      <w:lvlText w:val="(%2)"/>
      <w:lvlJc w:val="left"/>
      <w:pPr>
        <w:tabs>
          <w:tab w:val="num" w:pos="1560"/>
        </w:tabs>
        <w:ind w:left="1560" w:hanging="420"/>
      </w:pPr>
    </w:lvl>
    <w:lvl w:ilvl="2" w:tplc="04090011" w:tentative="1">
      <w:start w:val="1"/>
      <w:numFmt w:val="decimalEnclosedCircle"/>
      <w:lvlText w:val="%3"/>
      <w:lvlJc w:val="left"/>
      <w:pPr>
        <w:tabs>
          <w:tab w:val="num" w:pos="1980"/>
        </w:tabs>
        <w:ind w:left="1980" w:hanging="420"/>
      </w:pPr>
    </w:lvl>
    <w:lvl w:ilvl="3" w:tplc="0409000F" w:tentative="1">
      <w:start w:val="1"/>
      <w:numFmt w:val="decimal"/>
      <w:lvlText w:val="%4."/>
      <w:lvlJc w:val="left"/>
      <w:pPr>
        <w:tabs>
          <w:tab w:val="num" w:pos="2400"/>
        </w:tabs>
        <w:ind w:left="2400" w:hanging="420"/>
      </w:pPr>
    </w:lvl>
    <w:lvl w:ilvl="4" w:tplc="04090017" w:tentative="1">
      <w:start w:val="1"/>
      <w:numFmt w:val="aiueoFullWidth"/>
      <w:lvlText w:val="(%5)"/>
      <w:lvlJc w:val="left"/>
      <w:pPr>
        <w:tabs>
          <w:tab w:val="num" w:pos="2820"/>
        </w:tabs>
        <w:ind w:left="2820" w:hanging="420"/>
      </w:pPr>
    </w:lvl>
    <w:lvl w:ilvl="5" w:tplc="04090011" w:tentative="1">
      <w:start w:val="1"/>
      <w:numFmt w:val="decimalEnclosedCircle"/>
      <w:lvlText w:val="%6"/>
      <w:lvlJc w:val="left"/>
      <w:pPr>
        <w:tabs>
          <w:tab w:val="num" w:pos="3240"/>
        </w:tabs>
        <w:ind w:left="3240" w:hanging="420"/>
      </w:pPr>
    </w:lvl>
    <w:lvl w:ilvl="6" w:tplc="0409000F" w:tentative="1">
      <w:start w:val="1"/>
      <w:numFmt w:val="decimal"/>
      <w:lvlText w:val="%7."/>
      <w:lvlJc w:val="left"/>
      <w:pPr>
        <w:tabs>
          <w:tab w:val="num" w:pos="3660"/>
        </w:tabs>
        <w:ind w:left="3660" w:hanging="420"/>
      </w:pPr>
    </w:lvl>
    <w:lvl w:ilvl="7" w:tplc="04090017" w:tentative="1">
      <w:start w:val="1"/>
      <w:numFmt w:val="aiueoFullWidth"/>
      <w:lvlText w:val="(%8)"/>
      <w:lvlJc w:val="left"/>
      <w:pPr>
        <w:tabs>
          <w:tab w:val="num" w:pos="4080"/>
        </w:tabs>
        <w:ind w:left="4080" w:hanging="420"/>
      </w:pPr>
    </w:lvl>
    <w:lvl w:ilvl="8" w:tplc="04090011" w:tentative="1">
      <w:start w:val="1"/>
      <w:numFmt w:val="decimalEnclosedCircle"/>
      <w:lvlText w:val="%9"/>
      <w:lvlJc w:val="left"/>
      <w:pPr>
        <w:tabs>
          <w:tab w:val="num" w:pos="4500"/>
        </w:tabs>
        <w:ind w:left="4500" w:hanging="420"/>
      </w:pPr>
    </w:lvl>
  </w:abstractNum>
  <w:abstractNum w:abstractNumId="38" w15:restartNumberingAfterBreak="0">
    <w:nsid w:val="6EE63E20"/>
    <w:multiLevelType w:val="hybridMultilevel"/>
    <w:tmpl w:val="F6781C20"/>
    <w:lvl w:ilvl="0" w:tplc="C7EA1482">
      <w:start w:val="1"/>
      <w:numFmt w:val="decimalFullWidth"/>
      <w:lvlText w:val="（%1）"/>
      <w:lvlJc w:val="left"/>
      <w:pPr>
        <w:tabs>
          <w:tab w:val="num" w:pos="1262"/>
        </w:tabs>
        <w:ind w:left="1262" w:hanging="720"/>
      </w:pPr>
      <w:rPr>
        <w:rFonts w:hint="default"/>
      </w:rPr>
    </w:lvl>
    <w:lvl w:ilvl="1" w:tplc="010A2698">
      <w:start w:val="1"/>
      <w:numFmt w:val="bullet"/>
      <w:lvlText w:val="※"/>
      <w:lvlJc w:val="left"/>
      <w:pPr>
        <w:tabs>
          <w:tab w:val="num" w:pos="1322"/>
        </w:tabs>
        <w:ind w:left="1322" w:hanging="360"/>
      </w:pPr>
      <w:rPr>
        <w:rFonts w:ascii="ＭＳ 明朝" w:eastAsia="ＭＳ 明朝" w:hAnsi="ＭＳ 明朝" w:cs="Times New Roman" w:hint="eastAsia"/>
      </w:rPr>
    </w:lvl>
    <w:lvl w:ilvl="2" w:tplc="50484BB6">
      <w:start w:val="30"/>
      <w:numFmt w:val="decimal"/>
      <w:lvlText w:val="第%3条"/>
      <w:lvlJc w:val="left"/>
      <w:pPr>
        <w:tabs>
          <w:tab w:val="num" w:pos="2327"/>
        </w:tabs>
        <w:ind w:left="2327" w:hanging="945"/>
      </w:pPr>
      <w:rPr>
        <w:rFonts w:hint="default"/>
      </w:rPr>
    </w:lvl>
    <w:lvl w:ilvl="3" w:tplc="7AD84586">
      <w:start w:val="30"/>
      <w:numFmt w:val="bullet"/>
      <w:lvlText w:val="・"/>
      <w:lvlJc w:val="left"/>
      <w:pPr>
        <w:tabs>
          <w:tab w:val="num" w:pos="2162"/>
        </w:tabs>
        <w:ind w:left="2162" w:hanging="360"/>
      </w:pPr>
      <w:rPr>
        <w:rFonts w:ascii="ＭＳ ゴシック" w:eastAsia="ＭＳ ゴシック" w:hAnsi="ＭＳ ゴシック" w:cs="Times New Roman" w:hint="eastAsia"/>
      </w:rPr>
    </w:lvl>
    <w:lvl w:ilvl="4" w:tplc="04090017" w:tentative="1">
      <w:start w:val="1"/>
      <w:numFmt w:val="aiueoFullWidth"/>
      <w:lvlText w:val="(%5)"/>
      <w:lvlJc w:val="left"/>
      <w:pPr>
        <w:tabs>
          <w:tab w:val="num" w:pos="2642"/>
        </w:tabs>
        <w:ind w:left="2642" w:hanging="420"/>
      </w:pPr>
    </w:lvl>
    <w:lvl w:ilvl="5" w:tplc="04090011" w:tentative="1">
      <w:start w:val="1"/>
      <w:numFmt w:val="decimalEnclosedCircle"/>
      <w:lvlText w:val="%6"/>
      <w:lvlJc w:val="left"/>
      <w:pPr>
        <w:tabs>
          <w:tab w:val="num" w:pos="3062"/>
        </w:tabs>
        <w:ind w:left="3062" w:hanging="420"/>
      </w:pPr>
    </w:lvl>
    <w:lvl w:ilvl="6" w:tplc="0409000F" w:tentative="1">
      <w:start w:val="1"/>
      <w:numFmt w:val="decimal"/>
      <w:lvlText w:val="%7."/>
      <w:lvlJc w:val="left"/>
      <w:pPr>
        <w:tabs>
          <w:tab w:val="num" w:pos="3482"/>
        </w:tabs>
        <w:ind w:left="3482" w:hanging="420"/>
      </w:pPr>
    </w:lvl>
    <w:lvl w:ilvl="7" w:tplc="04090017" w:tentative="1">
      <w:start w:val="1"/>
      <w:numFmt w:val="aiueoFullWidth"/>
      <w:lvlText w:val="(%8)"/>
      <w:lvlJc w:val="left"/>
      <w:pPr>
        <w:tabs>
          <w:tab w:val="num" w:pos="3902"/>
        </w:tabs>
        <w:ind w:left="3902" w:hanging="420"/>
      </w:pPr>
    </w:lvl>
    <w:lvl w:ilvl="8" w:tplc="04090011" w:tentative="1">
      <w:start w:val="1"/>
      <w:numFmt w:val="decimalEnclosedCircle"/>
      <w:lvlText w:val="%9"/>
      <w:lvlJc w:val="left"/>
      <w:pPr>
        <w:tabs>
          <w:tab w:val="num" w:pos="4322"/>
        </w:tabs>
        <w:ind w:left="4322" w:hanging="420"/>
      </w:pPr>
    </w:lvl>
  </w:abstractNum>
  <w:abstractNum w:abstractNumId="39" w15:restartNumberingAfterBreak="0">
    <w:nsid w:val="71703811"/>
    <w:multiLevelType w:val="hybridMultilevel"/>
    <w:tmpl w:val="83FA7102"/>
    <w:lvl w:ilvl="0" w:tplc="CAD60ED6">
      <w:start w:val="1"/>
      <w:numFmt w:val="decimalFullWidth"/>
      <w:lvlText w:val="（%1）"/>
      <w:lvlJc w:val="left"/>
      <w:pPr>
        <w:tabs>
          <w:tab w:val="num" w:pos="1263"/>
        </w:tabs>
        <w:ind w:left="1263" w:hanging="720"/>
      </w:pPr>
      <w:rPr>
        <w:rFonts w:ascii="ＭＳ 明朝" w:eastAsia="ＭＳ 明朝" w:hAnsi="ＭＳ 明朝" w:hint="default"/>
        <w:b w:val="0"/>
        <w:lang w:val="en-US"/>
      </w:rPr>
    </w:lvl>
    <w:lvl w:ilvl="1" w:tplc="04090017">
      <w:start w:val="1"/>
      <w:numFmt w:val="aiueoFullWidth"/>
      <w:lvlText w:val="(%2)"/>
      <w:lvlJc w:val="left"/>
      <w:pPr>
        <w:tabs>
          <w:tab w:val="num" w:pos="1320"/>
        </w:tabs>
        <w:ind w:left="1320" w:hanging="420"/>
      </w:pPr>
    </w:lvl>
    <w:lvl w:ilvl="2" w:tplc="04090011" w:tentative="1">
      <w:start w:val="1"/>
      <w:numFmt w:val="decimalEnclosedCircle"/>
      <w:lvlText w:val="%3"/>
      <w:lvlJc w:val="lef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7" w:tentative="1">
      <w:start w:val="1"/>
      <w:numFmt w:val="aiueoFullWidth"/>
      <w:lvlText w:val="(%5)"/>
      <w:lvlJc w:val="left"/>
      <w:pPr>
        <w:tabs>
          <w:tab w:val="num" w:pos="2580"/>
        </w:tabs>
        <w:ind w:left="2580" w:hanging="420"/>
      </w:pPr>
    </w:lvl>
    <w:lvl w:ilvl="5" w:tplc="04090011" w:tentative="1">
      <w:start w:val="1"/>
      <w:numFmt w:val="decimalEnclosedCircle"/>
      <w:lvlText w:val="%6"/>
      <w:lvlJc w:val="lef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7" w:tentative="1">
      <w:start w:val="1"/>
      <w:numFmt w:val="aiueoFullWidth"/>
      <w:lvlText w:val="(%8)"/>
      <w:lvlJc w:val="left"/>
      <w:pPr>
        <w:tabs>
          <w:tab w:val="num" w:pos="3840"/>
        </w:tabs>
        <w:ind w:left="3840" w:hanging="420"/>
      </w:pPr>
    </w:lvl>
    <w:lvl w:ilvl="8" w:tplc="04090011" w:tentative="1">
      <w:start w:val="1"/>
      <w:numFmt w:val="decimalEnclosedCircle"/>
      <w:lvlText w:val="%9"/>
      <w:lvlJc w:val="left"/>
      <w:pPr>
        <w:tabs>
          <w:tab w:val="num" w:pos="4260"/>
        </w:tabs>
        <w:ind w:left="4260" w:hanging="420"/>
      </w:pPr>
    </w:lvl>
  </w:abstractNum>
  <w:abstractNum w:abstractNumId="40" w15:restartNumberingAfterBreak="0">
    <w:nsid w:val="7462295A"/>
    <w:multiLevelType w:val="hybridMultilevel"/>
    <w:tmpl w:val="E6C00528"/>
    <w:lvl w:ilvl="0" w:tplc="5C4E9872">
      <w:start w:val="1"/>
      <w:numFmt w:val="decimalFullWidth"/>
      <w:lvlText w:val="（%1）"/>
      <w:lvlJc w:val="left"/>
      <w:pPr>
        <w:tabs>
          <w:tab w:val="num" w:pos="901"/>
        </w:tabs>
        <w:ind w:left="901" w:hanging="720"/>
      </w:pPr>
      <w:rPr>
        <w:rFonts w:hint="default"/>
      </w:rPr>
    </w:lvl>
    <w:lvl w:ilvl="1" w:tplc="428439FC">
      <w:start w:val="4"/>
      <w:numFmt w:val="decimal"/>
      <w:lvlText w:val="(%2)"/>
      <w:lvlJc w:val="left"/>
      <w:pPr>
        <w:tabs>
          <w:tab w:val="num" w:pos="1321"/>
        </w:tabs>
        <w:ind w:left="1321" w:hanging="720"/>
      </w:pPr>
      <w:rPr>
        <w:rFonts w:hint="default"/>
        <w:color w:val="auto"/>
      </w:rPr>
    </w:lvl>
    <w:lvl w:ilvl="2" w:tplc="04090011" w:tentative="1">
      <w:start w:val="1"/>
      <w:numFmt w:val="decimalEnclosedCircle"/>
      <w:lvlText w:val="%3"/>
      <w:lvlJc w:val="left"/>
      <w:pPr>
        <w:tabs>
          <w:tab w:val="num" w:pos="1441"/>
        </w:tabs>
        <w:ind w:left="1441" w:hanging="420"/>
      </w:pPr>
    </w:lvl>
    <w:lvl w:ilvl="3" w:tplc="0409000F" w:tentative="1">
      <w:start w:val="1"/>
      <w:numFmt w:val="decimal"/>
      <w:lvlText w:val="%4."/>
      <w:lvlJc w:val="left"/>
      <w:pPr>
        <w:tabs>
          <w:tab w:val="num" w:pos="1861"/>
        </w:tabs>
        <w:ind w:left="1861" w:hanging="420"/>
      </w:pPr>
    </w:lvl>
    <w:lvl w:ilvl="4" w:tplc="04090017" w:tentative="1">
      <w:start w:val="1"/>
      <w:numFmt w:val="aiueoFullWidth"/>
      <w:lvlText w:val="(%5)"/>
      <w:lvlJc w:val="left"/>
      <w:pPr>
        <w:tabs>
          <w:tab w:val="num" w:pos="2281"/>
        </w:tabs>
        <w:ind w:left="2281" w:hanging="420"/>
      </w:pPr>
    </w:lvl>
    <w:lvl w:ilvl="5" w:tplc="04090011" w:tentative="1">
      <w:start w:val="1"/>
      <w:numFmt w:val="decimalEnclosedCircle"/>
      <w:lvlText w:val="%6"/>
      <w:lvlJc w:val="left"/>
      <w:pPr>
        <w:tabs>
          <w:tab w:val="num" w:pos="2701"/>
        </w:tabs>
        <w:ind w:left="2701" w:hanging="420"/>
      </w:pPr>
    </w:lvl>
    <w:lvl w:ilvl="6" w:tplc="0409000F" w:tentative="1">
      <w:start w:val="1"/>
      <w:numFmt w:val="decimal"/>
      <w:lvlText w:val="%7."/>
      <w:lvlJc w:val="left"/>
      <w:pPr>
        <w:tabs>
          <w:tab w:val="num" w:pos="3121"/>
        </w:tabs>
        <w:ind w:left="3121" w:hanging="420"/>
      </w:pPr>
    </w:lvl>
    <w:lvl w:ilvl="7" w:tplc="04090017" w:tentative="1">
      <w:start w:val="1"/>
      <w:numFmt w:val="aiueoFullWidth"/>
      <w:lvlText w:val="(%8)"/>
      <w:lvlJc w:val="left"/>
      <w:pPr>
        <w:tabs>
          <w:tab w:val="num" w:pos="3541"/>
        </w:tabs>
        <w:ind w:left="3541" w:hanging="420"/>
      </w:pPr>
    </w:lvl>
    <w:lvl w:ilvl="8" w:tplc="04090011" w:tentative="1">
      <w:start w:val="1"/>
      <w:numFmt w:val="decimalEnclosedCircle"/>
      <w:lvlText w:val="%9"/>
      <w:lvlJc w:val="left"/>
      <w:pPr>
        <w:tabs>
          <w:tab w:val="num" w:pos="3961"/>
        </w:tabs>
        <w:ind w:left="3961" w:hanging="420"/>
      </w:pPr>
    </w:lvl>
  </w:abstractNum>
  <w:abstractNum w:abstractNumId="41" w15:restartNumberingAfterBreak="0">
    <w:nsid w:val="766372B5"/>
    <w:multiLevelType w:val="hybridMultilevel"/>
    <w:tmpl w:val="A530D616"/>
    <w:lvl w:ilvl="0" w:tplc="D70A31C2">
      <w:start w:val="1"/>
      <w:numFmt w:val="decimalEnclosedCircle"/>
      <w:lvlText w:val="%1"/>
      <w:lvlJc w:val="left"/>
      <w:pPr>
        <w:tabs>
          <w:tab w:val="num" w:pos="930"/>
        </w:tabs>
        <w:ind w:left="930" w:hanging="480"/>
      </w:pPr>
      <w:rPr>
        <w:rFonts w:hint="default"/>
      </w:rPr>
    </w:lvl>
    <w:lvl w:ilvl="1" w:tplc="B20880B4">
      <w:start w:val="2"/>
      <w:numFmt w:val="decimalFullWidth"/>
      <w:lvlText w:val="（%2）"/>
      <w:lvlJc w:val="left"/>
      <w:pPr>
        <w:tabs>
          <w:tab w:val="num" w:pos="1590"/>
        </w:tabs>
        <w:ind w:left="1590" w:hanging="720"/>
      </w:pPr>
      <w:rPr>
        <w:rFonts w:hint="default"/>
      </w:rPr>
    </w:lvl>
    <w:lvl w:ilvl="2" w:tplc="04090011" w:tentative="1">
      <w:start w:val="1"/>
      <w:numFmt w:val="decimalEnclosedCircle"/>
      <w:lvlText w:val="%3"/>
      <w:lvlJc w:val="left"/>
      <w:pPr>
        <w:tabs>
          <w:tab w:val="num" w:pos="1710"/>
        </w:tabs>
        <w:ind w:left="1710" w:hanging="420"/>
      </w:pPr>
    </w:lvl>
    <w:lvl w:ilvl="3" w:tplc="0409000F" w:tentative="1">
      <w:start w:val="1"/>
      <w:numFmt w:val="decimal"/>
      <w:lvlText w:val="%4."/>
      <w:lvlJc w:val="left"/>
      <w:pPr>
        <w:tabs>
          <w:tab w:val="num" w:pos="2130"/>
        </w:tabs>
        <w:ind w:left="2130" w:hanging="420"/>
      </w:pPr>
    </w:lvl>
    <w:lvl w:ilvl="4" w:tplc="04090017" w:tentative="1">
      <w:start w:val="1"/>
      <w:numFmt w:val="aiueoFullWidth"/>
      <w:lvlText w:val="(%5)"/>
      <w:lvlJc w:val="left"/>
      <w:pPr>
        <w:tabs>
          <w:tab w:val="num" w:pos="2550"/>
        </w:tabs>
        <w:ind w:left="2550" w:hanging="420"/>
      </w:pPr>
    </w:lvl>
    <w:lvl w:ilvl="5" w:tplc="04090011" w:tentative="1">
      <w:start w:val="1"/>
      <w:numFmt w:val="decimalEnclosedCircle"/>
      <w:lvlText w:val="%6"/>
      <w:lvlJc w:val="left"/>
      <w:pPr>
        <w:tabs>
          <w:tab w:val="num" w:pos="2970"/>
        </w:tabs>
        <w:ind w:left="2970" w:hanging="420"/>
      </w:pPr>
    </w:lvl>
    <w:lvl w:ilvl="6" w:tplc="0409000F" w:tentative="1">
      <w:start w:val="1"/>
      <w:numFmt w:val="decimal"/>
      <w:lvlText w:val="%7."/>
      <w:lvlJc w:val="left"/>
      <w:pPr>
        <w:tabs>
          <w:tab w:val="num" w:pos="3390"/>
        </w:tabs>
        <w:ind w:left="3390" w:hanging="420"/>
      </w:pPr>
    </w:lvl>
    <w:lvl w:ilvl="7" w:tplc="04090017" w:tentative="1">
      <w:start w:val="1"/>
      <w:numFmt w:val="aiueoFullWidth"/>
      <w:lvlText w:val="(%8)"/>
      <w:lvlJc w:val="left"/>
      <w:pPr>
        <w:tabs>
          <w:tab w:val="num" w:pos="3810"/>
        </w:tabs>
        <w:ind w:left="3810" w:hanging="420"/>
      </w:pPr>
    </w:lvl>
    <w:lvl w:ilvl="8" w:tplc="04090011" w:tentative="1">
      <w:start w:val="1"/>
      <w:numFmt w:val="decimalEnclosedCircle"/>
      <w:lvlText w:val="%9"/>
      <w:lvlJc w:val="left"/>
      <w:pPr>
        <w:tabs>
          <w:tab w:val="num" w:pos="4230"/>
        </w:tabs>
        <w:ind w:left="4230" w:hanging="420"/>
      </w:pPr>
    </w:lvl>
  </w:abstractNum>
  <w:abstractNum w:abstractNumId="42" w15:restartNumberingAfterBreak="0">
    <w:nsid w:val="7B0C3CB7"/>
    <w:multiLevelType w:val="hybridMultilevel"/>
    <w:tmpl w:val="88909F2E"/>
    <w:lvl w:ilvl="0" w:tplc="52AE358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B274774"/>
    <w:multiLevelType w:val="hybridMultilevel"/>
    <w:tmpl w:val="3DE0155C"/>
    <w:lvl w:ilvl="0" w:tplc="9DFE8F7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6"/>
  </w:num>
  <w:num w:numId="2">
    <w:abstractNumId w:val="40"/>
  </w:num>
  <w:num w:numId="3">
    <w:abstractNumId w:val="2"/>
  </w:num>
  <w:num w:numId="4">
    <w:abstractNumId w:val="13"/>
  </w:num>
  <w:num w:numId="5">
    <w:abstractNumId w:val="41"/>
  </w:num>
  <w:num w:numId="6">
    <w:abstractNumId w:val="12"/>
  </w:num>
  <w:num w:numId="7">
    <w:abstractNumId w:val="11"/>
  </w:num>
  <w:num w:numId="8">
    <w:abstractNumId w:val="24"/>
  </w:num>
  <w:num w:numId="9">
    <w:abstractNumId w:val="22"/>
  </w:num>
  <w:num w:numId="10">
    <w:abstractNumId w:val="20"/>
  </w:num>
  <w:num w:numId="11">
    <w:abstractNumId w:val="7"/>
  </w:num>
  <w:num w:numId="12">
    <w:abstractNumId w:val="21"/>
  </w:num>
  <w:num w:numId="13">
    <w:abstractNumId w:val="39"/>
  </w:num>
  <w:num w:numId="14">
    <w:abstractNumId w:val="38"/>
  </w:num>
  <w:num w:numId="15">
    <w:abstractNumId w:val="37"/>
  </w:num>
  <w:num w:numId="16">
    <w:abstractNumId w:val="36"/>
  </w:num>
  <w:num w:numId="17">
    <w:abstractNumId w:val="16"/>
  </w:num>
  <w:num w:numId="18">
    <w:abstractNumId w:val="0"/>
  </w:num>
  <w:num w:numId="19">
    <w:abstractNumId w:val="3"/>
  </w:num>
  <w:num w:numId="20">
    <w:abstractNumId w:val="29"/>
  </w:num>
  <w:num w:numId="21">
    <w:abstractNumId w:val="6"/>
  </w:num>
  <w:num w:numId="22">
    <w:abstractNumId w:val="10"/>
  </w:num>
  <w:num w:numId="23">
    <w:abstractNumId w:val="25"/>
  </w:num>
  <w:num w:numId="24">
    <w:abstractNumId w:val="34"/>
  </w:num>
  <w:num w:numId="25">
    <w:abstractNumId w:val="31"/>
  </w:num>
  <w:num w:numId="26">
    <w:abstractNumId w:val="30"/>
  </w:num>
  <w:num w:numId="27">
    <w:abstractNumId w:val="8"/>
  </w:num>
  <w:num w:numId="28">
    <w:abstractNumId w:val="9"/>
  </w:num>
  <w:num w:numId="29">
    <w:abstractNumId w:val="4"/>
  </w:num>
  <w:num w:numId="30">
    <w:abstractNumId w:val="15"/>
  </w:num>
  <w:num w:numId="31">
    <w:abstractNumId w:val="42"/>
  </w:num>
  <w:num w:numId="32">
    <w:abstractNumId w:val="43"/>
  </w:num>
  <w:num w:numId="33">
    <w:abstractNumId w:val="27"/>
  </w:num>
  <w:num w:numId="34">
    <w:abstractNumId w:val="19"/>
  </w:num>
  <w:num w:numId="35">
    <w:abstractNumId w:val="33"/>
  </w:num>
  <w:num w:numId="36">
    <w:abstractNumId w:val="18"/>
  </w:num>
  <w:num w:numId="37">
    <w:abstractNumId w:val="32"/>
  </w:num>
  <w:num w:numId="38">
    <w:abstractNumId w:val="14"/>
  </w:num>
  <w:num w:numId="39">
    <w:abstractNumId w:val="1"/>
  </w:num>
  <w:num w:numId="40">
    <w:abstractNumId w:val="28"/>
  </w:num>
  <w:num w:numId="41">
    <w:abstractNumId w:val="17"/>
  </w:num>
  <w:num w:numId="42">
    <w:abstractNumId w:val="23"/>
  </w:num>
  <w:num w:numId="43">
    <w:abstractNumId w:val="35"/>
  </w:num>
  <w:num w:numId="4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536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53601">
      <v:textbox inset="5.85pt,.7pt,5.85pt,.7pt"/>
    </o:shapedefaults>
    <o:shapelayout v:ext="edit">
      <o:idmap v:ext="edit" data="1"/>
    </o:shapelayout>
  </w:shapeDefaults>
  <w:decimalSymbol w:val="."/>
  <w:listSeparator w:val=","/>
  <w15:docId w15:val="{7CEAD721-6CA5-4AC3-B38C-54CFEC51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qFormat/>
    <w:pPr>
      <w:keepNext/>
      <w:outlineLvl w:val="0"/>
    </w:pPr>
    <w:rPr>
      <w:rFonts w:ascii="Arial" w:eastAsia="ＭＳ ゴシック" w:hAnsi="Arial"/>
      <w:kern w:val="0"/>
      <w:sz w:val="24"/>
      <w:szCs w:val="24"/>
      <w:lang w:val="x-none" w:eastAsia="x-none"/>
    </w:rPr>
  </w:style>
  <w:style w:type="paragraph" w:styleId="2">
    <w:name w:val="heading 2"/>
    <w:basedOn w:val="a"/>
    <w:next w:val="a"/>
    <w:link w:val="20"/>
    <w:qFormat/>
    <w:pPr>
      <w:keepNext/>
      <w:outlineLvl w:val="1"/>
    </w:pPr>
    <w:rPr>
      <w:rFonts w:ascii="Arial" w:eastAsia="ＭＳ ゴシック" w:hAnsi="Arial"/>
      <w:kern w:val="0"/>
      <w:sz w:val="20"/>
      <w:szCs w:val="24"/>
      <w:lang w:val="x-none" w:eastAsia="x-none"/>
    </w:rPr>
  </w:style>
  <w:style w:type="paragraph" w:styleId="3">
    <w:name w:val="heading 3"/>
    <w:basedOn w:val="a"/>
    <w:next w:val="a"/>
    <w:link w:val="30"/>
    <w:autoRedefine/>
    <w:qFormat/>
    <w:pPr>
      <w:keepNext/>
      <w:outlineLvl w:val="2"/>
    </w:pPr>
    <w:rPr>
      <w:rFonts w:ascii="ＭＳ 明朝" w:eastAsia="ＭＳ ゴシック" w:hAnsi="ＭＳ 明朝"/>
      <w:kern w:val="0"/>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Pr>
      <w:rFonts w:ascii="Arial" w:eastAsia="ＭＳ ゴシック" w:hAnsi="Arial" w:cs="Times New Roman"/>
      <w:sz w:val="24"/>
      <w:szCs w:val="24"/>
    </w:rPr>
  </w:style>
  <w:style w:type="character" w:customStyle="1" w:styleId="20">
    <w:name w:val="見出し 2 (文字)"/>
    <w:link w:val="2"/>
    <w:rPr>
      <w:rFonts w:ascii="Arial" w:eastAsia="ＭＳ ゴシック" w:hAnsi="Arial" w:cs="Times New Roman"/>
      <w:szCs w:val="24"/>
    </w:rPr>
  </w:style>
  <w:style w:type="character" w:customStyle="1" w:styleId="30">
    <w:name w:val="見出し 3 (文字)"/>
    <w:link w:val="3"/>
    <w:rPr>
      <w:rFonts w:ascii="ＭＳ 明朝" w:eastAsia="ＭＳ ゴシック" w:hAnsi="ＭＳ 明朝" w:cs="Times New Roman"/>
      <w:sz w:val="24"/>
      <w:szCs w:val="24"/>
    </w:rPr>
  </w:style>
  <w:style w:type="character" w:customStyle="1" w:styleId="a3">
    <w:name w:val="ヘッダー (文字)"/>
    <w:link w:val="a4"/>
    <w:rPr>
      <w:rFonts w:ascii="Century" w:eastAsia="ＭＳ 明朝" w:hAnsi="Century" w:cs="Times New Roman"/>
    </w:rPr>
  </w:style>
  <w:style w:type="paragraph" w:styleId="a4">
    <w:name w:val="header"/>
    <w:basedOn w:val="a"/>
    <w:link w:val="a3"/>
    <w:unhideWhenUsed/>
    <w:pPr>
      <w:tabs>
        <w:tab w:val="center" w:pos="4252"/>
        <w:tab w:val="right" w:pos="8504"/>
      </w:tabs>
      <w:snapToGrid w:val="0"/>
    </w:pPr>
    <w:rPr>
      <w:kern w:val="0"/>
      <w:sz w:val="20"/>
      <w:szCs w:val="20"/>
      <w:lang w:val="x-none" w:eastAsia="x-none"/>
    </w:rPr>
  </w:style>
  <w:style w:type="paragraph" w:styleId="a5">
    <w:name w:val="footer"/>
    <w:basedOn w:val="a"/>
    <w:link w:val="a6"/>
    <w:uiPriority w:val="99"/>
    <w:unhideWhenUsed/>
    <w:pPr>
      <w:tabs>
        <w:tab w:val="center" w:pos="4252"/>
        <w:tab w:val="right" w:pos="8504"/>
      </w:tabs>
      <w:snapToGrid w:val="0"/>
    </w:pPr>
    <w:rPr>
      <w:kern w:val="0"/>
      <w:sz w:val="20"/>
      <w:szCs w:val="20"/>
      <w:lang w:val="x-none" w:eastAsia="x-none"/>
    </w:rPr>
  </w:style>
  <w:style w:type="character" w:customStyle="1" w:styleId="a6">
    <w:name w:val="フッター (文字)"/>
    <w:link w:val="a5"/>
    <w:uiPriority w:val="99"/>
    <w:rPr>
      <w:rFonts w:ascii="Century" w:eastAsia="ＭＳ 明朝" w:hAnsi="Century" w:cs="Times New Roman"/>
    </w:rPr>
  </w:style>
  <w:style w:type="character" w:customStyle="1" w:styleId="a7">
    <w:name w:val="日付 (文字)"/>
    <w:link w:val="a8"/>
    <w:rPr>
      <w:rFonts w:ascii="Century" w:eastAsia="ＭＳ 明朝" w:hAnsi="Century" w:cs="Times New Roman"/>
    </w:rPr>
  </w:style>
  <w:style w:type="paragraph" w:styleId="a8">
    <w:name w:val="Date"/>
    <w:basedOn w:val="a"/>
    <w:next w:val="a"/>
    <w:link w:val="a7"/>
    <w:unhideWhenUsed/>
    <w:rPr>
      <w:kern w:val="0"/>
      <w:sz w:val="20"/>
      <w:szCs w:val="20"/>
      <w:lang w:val="x-none" w:eastAsia="x-none"/>
    </w:rPr>
  </w:style>
  <w:style w:type="paragraph" w:styleId="a9">
    <w:name w:val="List Paragraph"/>
    <w:basedOn w:val="a"/>
    <w:uiPriority w:val="34"/>
    <w:qFormat/>
    <w:pPr>
      <w:ind w:leftChars="400" w:left="840"/>
    </w:pPr>
  </w:style>
  <w:style w:type="paragraph" w:styleId="aa">
    <w:name w:val="No Spacing"/>
    <w:link w:val="ab"/>
    <w:uiPriority w:val="1"/>
    <w:qFormat/>
    <w:pPr>
      <w:widowControl w:val="0"/>
      <w:jc w:val="both"/>
    </w:pPr>
    <w:rPr>
      <w:kern w:val="2"/>
      <w:sz w:val="21"/>
      <w:szCs w:val="22"/>
    </w:rPr>
  </w:style>
  <w:style w:type="character" w:customStyle="1" w:styleId="ac">
    <w:name w:val="吹き出し (文字)"/>
    <w:link w:val="ad"/>
    <w:rPr>
      <w:rFonts w:ascii="Arial" w:eastAsia="ＭＳ ゴシック" w:hAnsi="Arial" w:cs="Times New Roman"/>
      <w:sz w:val="18"/>
      <w:szCs w:val="18"/>
    </w:rPr>
  </w:style>
  <w:style w:type="paragraph" w:styleId="ad">
    <w:name w:val="Balloon Text"/>
    <w:basedOn w:val="a"/>
    <w:link w:val="ac"/>
    <w:unhideWhenUsed/>
    <w:rPr>
      <w:rFonts w:ascii="Arial" w:eastAsia="ＭＳ ゴシック" w:hAnsi="Arial"/>
      <w:kern w:val="0"/>
      <w:sz w:val="18"/>
      <w:szCs w:val="18"/>
      <w:lang w:val="x-none" w:eastAsia="x-none"/>
    </w:rPr>
  </w:style>
  <w:style w:type="paragraph" w:customStyle="1" w:styleId="4">
    <w:name w:val="見出し4"/>
    <w:basedOn w:val="a"/>
    <w:next w:val="a"/>
    <w:rPr>
      <w:rFonts w:ascii="ＭＳ ゴシック" w:eastAsia="ＭＳ ゴシック"/>
      <w:sz w:val="22"/>
      <w:szCs w:val="24"/>
    </w:rPr>
  </w:style>
  <w:style w:type="character" w:customStyle="1" w:styleId="ae">
    <w:name w:val="本文 (文字)"/>
    <w:link w:val="af"/>
    <w:rPr>
      <w:rFonts w:ascii="HG丸ｺﾞｼｯｸM-PRO" w:eastAsia="HG丸ｺﾞｼｯｸM-PRO" w:hAnsi="Century" w:cs="Times New Roman"/>
      <w:sz w:val="24"/>
      <w:szCs w:val="24"/>
    </w:rPr>
  </w:style>
  <w:style w:type="paragraph" w:styleId="af">
    <w:name w:val="Body Text"/>
    <w:basedOn w:val="a"/>
    <w:link w:val="ae"/>
    <w:rPr>
      <w:rFonts w:ascii="HG丸ｺﾞｼｯｸM-PRO" w:eastAsia="HG丸ｺﾞｼｯｸM-PRO"/>
      <w:kern w:val="0"/>
      <w:sz w:val="24"/>
      <w:szCs w:val="24"/>
      <w:lang w:val="x-none" w:eastAsia="x-none"/>
    </w:rPr>
  </w:style>
  <w:style w:type="character" w:customStyle="1" w:styleId="af0">
    <w:name w:val="本文インデント (文字)"/>
    <w:link w:val="af1"/>
    <w:rPr>
      <w:rFonts w:ascii="HG丸ｺﾞｼｯｸM-PRO" w:eastAsia="HG丸ｺﾞｼｯｸM-PRO" w:hAnsi="Century" w:cs="Times New Roman"/>
      <w:color w:val="0000FF"/>
      <w:sz w:val="24"/>
      <w:szCs w:val="24"/>
    </w:rPr>
  </w:style>
  <w:style w:type="paragraph" w:styleId="af1">
    <w:name w:val="Body Text Indent"/>
    <w:basedOn w:val="a"/>
    <w:link w:val="af0"/>
    <w:pPr>
      <w:ind w:firstLineChars="100" w:firstLine="257"/>
    </w:pPr>
    <w:rPr>
      <w:rFonts w:ascii="HG丸ｺﾞｼｯｸM-PRO" w:eastAsia="HG丸ｺﾞｼｯｸM-PRO"/>
      <w:color w:val="0000FF"/>
      <w:kern w:val="0"/>
      <w:sz w:val="24"/>
      <w:szCs w:val="24"/>
      <w:lang w:val="x-none" w:eastAsia="x-none"/>
    </w:rPr>
  </w:style>
  <w:style w:type="paragraph" w:customStyle="1" w:styleId="31">
    <w:name w:val="本文インデント3"/>
    <w:basedOn w:val="a"/>
    <w:pPr>
      <w:ind w:leftChars="200" w:left="440"/>
    </w:pPr>
    <w:rPr>
      <w:rFonts w:ascii="ＭＳ 明朝"/>
      <w:sz w:val="22"/>
      <w:szCs w:val="24"/>
    </w:rPr>
  </w:style>
  <w:style w:type="character" w:styleId="af2">
    <w:name w:val="Hyperlink"/>
    <w:rPr>
      <w:color w:val="0000FF"/>
      <w:u w:val="single"/>
    </w:rPr>
  </w:style>
  <w:style w:type="character" w:customStyle="1" w:styleId="af3">
    <w:name w:val="脚注文字列 (文字)"/>
    <w:link w:val="af4"/>
    <w:semiHidden/>
    <w:rPr>
      <w:rFonts w:ascii="Century" w:eastAsia="ＭＳ 明朝" w:hAnsi="Century" w:cs="Times New Roman"/>
      <w:szCs w:val="24"/>
    </w:rPr>
  </w:style>
  <w:style w:type="paragraph" w:styleId="af4">
    <w:name w:val="footnote text"/>
    <w:basedOn w:val="a"/>
    <w:link w:val="af3"/>
    <w:semiHidden/>
    <w:pPr>
      <w:snapToGrid w:val="0"/>
      <w:jc w:val="left"/>
    </w:pPr>
    <w:rPr>
      <w:kern w:val="0"/>
      <w:sz w:val="20"/>
      <w:szCs w:val="24"/>
      <w:lang w:val="x-none" w:eastAsia="x-none"/>
    </w:rPr>
  </w:style>
  <w:style w:type="character" w:customStyle="1" w:styleId="ab">
    <w:name w:val="行間詰め (文字)"/>
    <w:link w:val="aa"/>
    <w:uiPriority w:val="1"/>
    <w:rPr>
      <w:kern w:val="2"/>
      <w:sz w:val="21"/>
      <w:szCs w:val="22"/>
      <w:lang w:bidi="ar-SA"/>
    </w:rPr>
  </w:style>
  <w:style w:type="table" w:styleId="af5">
    <w:name w:val="Table Grid"/>
    <w:basedOn w:val="a1"/>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
    <w:name w:val="表 (格子)1"/>
    <w:basedOn w:val="a1"/>
    <w:next w:val="af5"/>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f5"/>
    <w:uiPriority w:val="59"/>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annotation reference"/>
    <w:basedOn w:val="a0"/>
    <w:uiPriority w:val="99"/>
    <w:semiHidden/>
    <w:unhideWhenUsed/>
    <w:rPr>
      <w:sz w:val="18"/>
      <w:szCs w:val="18"/>
    </w:rPr>
  </w:style>
  <w:style w:type="paragraph" w:styleId="af7">
    <w:name w:val="annotation text"/>
    <w:basedOn w:val="a"/>
    <w:link w:val="af8"/>
    <w:uiPriority w:val="99"/>
    <w:semiHidden/>
    <w:unhideWhenUsed/>
    <w:pPr>
      <w:jc w:val="left"/>
    </w:pPr>
  </w:style>
  <w:style w:type="character" w:customStyle="1" w:styleId="af8">
    <w:name w:val="コメント文字列 (文字)"/>
    <w:basedOn w:val="a0"/>
    <w:link w:val="af7"/>
    <w:uiPriority w:val="99"/>
    <w:semiHidden/>
    <w:rPr>
      <w:kern w:val="2"/>
      <w:sz w:val="21"/>
      <w:szCs w:val="22"/>
    </w:rPr>
  </w:style>
  <w:style w:type="paragraph" w:styleId="af9">
    <w:name w:val="annotation subject"/>
    <w:basedOn w:val="af7"/>
    <w:next w:val="af7"/>
    <w:link w:val="afa"/>
    <w:uiPriority w:val="99"/>
    <w:semiHidden/>
    <w:unhideWhenUsed/>
    <w:rPr>
      <w:b/>
      <w:bCs/>
    </w:rPr>
  </w:style>
  <w:style w:type="character" w:customStyle="1" w:styleId="afa">
    <w:name w:val="コメント内容 (文字)"/>
    <w:basedOn w:val="af8"/>
    <w:link w:val="af9"/>
    <w:uiPriority w:val="99"/>
    <w:semiHidden/>
    <w:rPr>
      <w:b/>
      <w:bCs/>
      <w:kern w:val="2"/>
      <w:sz w:val="21"/>
      <w:szCs w:val="22"/>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10">
    <w:name w:val="表 (格子)11"/>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表 (格子)21"/>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
    <w:name w:val="表 (格子)3"/>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0">
    <w:name w:val="表 (格子)4"/>
    <w:basedOn w:val="a1"/>
    <w:uiPriority w:val="59"/>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
    <w:name w:val="表 (格子)5"/>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
    <w:name w:val="表 (格子)6"/>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
    <w:name w:val="表 (格子)7"/>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2">
    <w:name w:val="Grid Table 1 Light Accent 2"/>
    <w:basedOn w:val="a1"/>
    <w:uiPriority w:val="46"/>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8">
    <w:name w:val="表 (格子)8"/>
    <w:basedOn w:val="a1"/>
    <w:next w:val="af5"/>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56724">
      <w:bodyDiv w:val="1"/>
      <w:marLeft w:val="0"/>
      <w:marRight w:val="0"/>
      <w:marTop w:val="0"/>
      <w:marBottom w:val="0"/>
      <w:divBdr>
        <w:top w:val="none" w:sz="0" w:space="0" w:color="auto"/>
        <w:left w:val="none" w:sz="0" w:space="0" w:color="auto"/>
        <w:bottom w:val="none" w:sz="0" w:space="0" w:color="auto"/>
        <w:right w:val="none" w:sz="0" w:space="0" w:color="auto"/>
      </w:divBdr>
    </w:div>
    <w:div w:id="74938821">
      <w:bodyDiv w:val="1"/>
      <w:marLeft w:val="0"/>
      <w:marRight w:val="0"/>
      <w:marTop w:val="0"/>
      <w:marBottom w:val="0"/>
      <w:divBdr>
        <w:top w:val="none" w:sz="0" w:space="0" w:color="auto"/>
        <w:left w:val="none" w:sz="0" w:space="0" w:color="auto"/>
        <w:bottom w:val="none" w:sz="0" w:space="0" w:color="auto"/>
        <w:right w:val="none" w:sz="0" w:space="0" w:color="auto"/>
      </w:divBdr>
    </w:div>
    <w:div w:id="144014060">
      <w:bodyDiv w:val="1"/>
      <w:marLeft w:val="0"/>
      <w:marRight w:val="0"/>
      <w:marTop w:val="0"/>
      <w:marBottom w:val="0"/>
      <w:divBdr>
        <w:top w:val="none" w:sz="0" w:space="0" w:color="auto"/>
        <w:left w:val="none" w:sz="0" w:space="0" w:color="auto"/>
        <w:bottom w:val="none" w:sz="0" w:space="0" w:color="auto"/>
        <w:right w:val="none" w:sz="0" w:space="0" w:color="auto"/>
      </w:divBdr>
    </w:div>
    <w:div w:id="229121922">
      <w:bodyDiv w:val="1"/>
      <w:marLeft w:val="0"/>
      <w:marRight w:val="0"/>
      <w:marTop w:val="0"/>
      <w:marBottom w:val="0"/>
      <w:divBdr>
        <w:top w:val="none" w:sz="0" w:space="0" w:color="auto"/>
        <w:left w:val="none" w:sz="0" w:space="0" w:color="auto"/>
        <w:bottom w:val="none" w:sz="0" w:space="0" w:color="auto"/>
        <w:right w:val="none" w:sz="0" w:space="0" w:color="auto"/>
      </w:divBdr>
    </w:div>
    <w:div w:id="242837240">
      <w:bodyDiv w:val="1"/>
      <w:marLeft w:val="0"/>
      <w:marRight w:val="0"/>
      <w:marTop w:val="0"/>
      <w:marBottom w:val="0"/>
      <w:divBdr>
        <w:top w:val="none" w:sz="0" w:space="0" w:color="auto"/>
        <w:left w:val="none" w:sz="0" w:space="0" w:color="auto"/>
        <w:bottom w:val="none" w:sz="0" w:space="0" w:color="auto"/>
        <w:right w:val="none" w:sz="0" w:space="0" w:color="auto"/>
      </w:divBdr>
    </w:div>
    <w:div w:id="250744952">
      <w:bodyDiv w:val="1"/>
      <w:marLeft w:val="0"/>
      <w:marRight w:val="0"/>
      <w:marTop w:val="0"/>
      <w:marBottom w:val="0"/>
      <w:divBdr>
        <w:top w:val="none" w:sz="0" w:space="0" w:color="auto"/>
        <w:left w:val="none" w:sz="0" w:space="0" w:color="auto"/>
        <w:bottom w:val="none" w:sz="0" w:space="0" w:color="auto"/>
        <w:right w:val="none" w:sz="0" w:space="0" w:color="auto"/>
      </w:divBdr>
    </w:div>
    <w:div w:id="271786578">
      <w:bodyDiv w:val="1"/>
      <w:marLeft w:val="0"/>
      <w:marRight w:val="0"/>
      <w:marTop w:val="0"/>
      <w:marBottom w:val="0"/>
      <w:divBdr>
        <w:top w:val="none" w:sz="0" w:space="0" w:color="auto"/>
        <w:left w:val="none" w:sz="0" w:space="0" w:color="auto"/>
        <w:bottom w:val="none" w:sz="0" w:space="0" w:color="auto"/>
        <w:right w:val="none" w:sz="0" w:space="0" w:color="auto"/>
      </w:divBdr>
    </w:div>
    <w:div w:id="301085404">
      <w:bodyDiv w:val="1"/>
      <w:marLeft w:val="0"/>
      <w:marRight w:val="0"/>
      <w:marTop w:val="0"/>
      <w:marBottom w:val="0"/>
      <w:divBdr>
        <w:top w:val="none" w:sz="0" w:space="0" w:color="auto"/>
        <w:left w:val="none" w:sz="0" w:space="0" w:color="auto"/>
        <w:bottom w:val="none" w:sz="0" w:space="0" w:color="auto"/>
        <w:right w:val="none" w:sz="0" w:space="0" w:color="auto"/>
      </w:divBdr>
    </w:div>
    <w:div w:id="334576295">
      <w:bodyDiv w:val="1"/>
      <w:marLeft w:val="0"/>
      <w:marRight w:val="0"/>
      <w:marTop w:val="0"/>
      <w:marBottom w:val="0"/>
      <w:divBdr>
        <w:top w:val="none" w:sz="0" w:space="0" w:color="auto"/>
        <w:left w:val="none" w:sz="0" w:space="0" w:color="auto"/>
        <w:bottom w:val="none" w:sz="0" w:space="0" w:color="auto"/>
        <w:right w:val="none" w:sz="0" w:space="0" w:color="auto"/>
      </w:divBdr>
    </w:div>
    <w:div w:id="353966624">
      <w:bodyDiv w:val="1"/>
      <w:marLeft w:val="0"/>
      <w:marRight w:val="0"/>
      <w:marTop w:val="0"/>
      <w:marBottom w:val="0"/>
      <w:divBdr>
        <w:top w:val="none" w:sz="0" w:space="0" w:color="auto"/>
        <w:left w:val="none" w:sz="0" w:space="0" w:color="auto"/>
        <w:bottom w:val="none" w:sz="0" w:space="0" w:color="auto"/>
        <w:right w:val="none" w:sz="0" w:space="0" w:color="auto"/>
      </w:divBdr>
    </w:div>
    <w:div w:id="383257153">
      <w:bodyDiv w:val="1"/>
      <w:marLeft w:val="0"/>
      <w:marRight w:val="0"/>
      <w:marTop w:val="0"/>
      <w:marBottom w:val="0"/>
      <w:divBdr>
        <w:top w:val="none" w:sz="0" w:space="0" w:color="auto"/>
        <w:left w:val="none" w:sz="0" w:space="0" w:color="auto"/>
        <w:bottom w:val="none" w:sz="0" w:space="0" w:color="auto"/>
        <w:right w:val="none" w:sz="0" w:space="0" w:color="auto"/>
      </w:divBdr>
    </w:div>
    <w:div w:id="440415891">
      <w:bodyDiv w:val="1"/>
      <w:marLeft w:val="0"/>
      <w:marRight w:val="0"/>
      <w:marTop w:val="0"/>
      <w:marBottom w:val="0"/>
      <w:divBdr>
        <w:top w:val="none" w:sz="0" w:space="0" w:color="auto"/>
        <w:left w:val="none" w:sz="0" w:space="0" w:color="auto"/>
        <w:bottom w:val="none" w:sz="0" w:space="0" w:color="auto"/>
        <w:right w:val="none" w:sz="0" w:space="0" w:color="auto"/>
      </w:divBdr>
    </w:div>
    <w:div w:id="576983317">
      <w:bodyDiv w:val="1"/>
      <w:marLeft w:val="0"/>
      <w:marRight w:val="0"/>
      <w:marTop w:val="0"/>
      <w:marBottom w:val="0"/>
      <w:divBdr>
        <w:top w:val="none" w:sz="0" w:space="0" w:color="auto"/>
        <w:left w:val="none" w:sz="0" w:space="0" w:color="auto"/>
        <w:bottom w:val="none" w:sz="0" w:space="0" w:color="auto"/>
        <w:right w:val="none" w:sz="0" w:space="0" w:color="auto"/>
      </w:divBdr>
    </w:div>
    <w:div w:id="611714296">
      <w:bodyDiv w:val="1"/>
      <w:marLeft w:val="0"/>
      <w:marRight w:val="0"/>
      <w:marTop w:val="0"/>
      <w:marBottom w:val="0"/>
      <w:divBdr>
        <w:top w:val="none" w:sz="0" w:space="0" w:color="auto"/>
        <w:left w:val="none" w:sz="0" w:space="0" w:color="auto"/>
        <w:bottom w:val="none" w:sz="0" w:space="0" w:color="auto"/>
        <w:right w:val="none" w:sz="0" w:space="0" w:color="auto"/>
      </w:divBdr>
    </w:div>
    <w:div w:id="617300059">
      <w:bodyDiv w:val="1"/>
      <w:marLeft w:val="0"/>
      <w:marRight w:val="0"/>
      <w:marTop w:val="0"/>
      <w:marBottom w:val="0"/>
      <w:divBdr>
        <w:top w:val="none" w:sz="0" w:space="0" w:color="auto"/>
        <w:left w:val="none" w:sz="0" w:space="0" w:color="auto"/>
        <w:bottom w:val="none" w:sz="0" w:space="0" w:color="auto"/>
        <w:right w:val="none" w:sz="0" w:space="0" w:color="auto"/>
      </w:divBdr>
    </w:div>
    <w:div w:id="641429054">
      <w:bodyDiv w:val="1"/>
      <w:marLeft w:val="0"/>
      <w:marRight w:val="0"/>
      <w:marTop w:val="0"/>
      <w:marBottom w:val="0"/>
      <w:divBdr>
        <w:top w:val="none" w:sz="0" w:space="0" w:color="auto"/>
        <w:left w:val="none" w:sz="0" w:space="0" w:color="auto"/>
        <w:bottom w:val="none" w:sz="0" w:space="0" w:color="auto"/>
        <w:right w:val="none" w:sz="0" w:space="0" w:color="auto"/>
      </w:divBdr>
    </w:div>
    <w:div w:id="720593526">
      <w:bodyDiv w:val="1"/>
      <w:marLeft w:val="0"/>
      <w:marRight w:val="0"/>
      <w:marTop w:val="0"/>
      <w:marBottom w:val="0"/>
      <w:divBdr>
        <w:top w:val="none" w:sz="0" w:space="0" w:color="auto"/>
        <w:left w:val="none" w:sz="0" w:space="0" w:color="auto"/>
        <w:bottom w:val="none" w:sz="0" w:space="0" w:color="auto"/>
        <w:right w:val="none" w:sz="0" w:space="0" w:color="auto"/>
      </w:divBdr>
    </w:div>
    <w:div w:id="831795024">
      <w:bodyDiv w:val="1"/>
      <w:marLeft w:val="0"/>
      <w:marRight w:val="0"/>
      <w:marTop w:val="0"/>
      <w:marBottom w:val="0"/>
      <w:divBdr>
        <w:top w:val="none" w:sz="0" w:space="0" w:color="auto"/>
        <w:left w:val="none" w:sz="0" w:space="0" w:color="auto"/>
        <w:bottom w:val="none" w:sz="0" w:space="0" w:color="auto"/>
        <w:right w:val="none" w:sz="0" w:space="0" w:color="auto"/>
      </w:divBdr>
    </w:div>
    <w:div w:id="897974988">
      <w:bodyDiv w:val="1"/>
      <w:marLeft w:val="0"/>
      <w:marRight w:val="0"/>
      <w:marTop w:val="0"/>
      <w:marBottom w:val="0"/>
      <w:divBdr>
        <w:top w:val="none" w:sz="0" w:space="0" w:color="auto"/>
        <w:left w:val="none" w:sz="0" w:space="0" w:color="auto"/>
        <w:bottom w:val="none" w:sz="0" w:space="0" w:color="auto"/>
        <w:right w:val="none" w:sz="0" w:space="0" w:color="auto"/>
      </w:divBdr>
    </w:div>
    <w:div w:id="1018235464">
      <w:bodyDiv w:val="1"/>
      <w:marLeft w:val="0"/>
      <w:marRight w:val="0"/>
      <w:marTop w:val="0"/>
      <w:marBottom w:val="0"/>
      <w:divBdr>
        <w:top w:val="none" w:sz="0" w:space="0" w:color="auto"/>
        <w:left w:val="none" w:sz="0" w:space="0" w:color="auto"/>
        <w:bottom w:val="none" w:sz="0" w:space="0" w:color="auto"/>
        <w:right w:val="none" w:sz="0" w:space="0" w:color="auto"/>
      </w:divBdr>
    </w:div>
    <w:div w:id="1142772592">
      <w:bodyDiv w:val="1"/>
      <w:marLeft w:val="0"/>
      <w:marRight w:val="0"/>
      <w:marTop w:val="0"/>
      <w:marBottom w:val="0"/>
      <w:divBdr>
        <w:top w:val="none" w:sz="0" w:space="0" w:color="auto"/>
        <w:left w:val="none" w:sz="0" w:space="0" w:color="auto"/>
        <w:bottom w:val="none" w:sz="0" w:space="0" w:color="auto"/>
        <w:right w:val="none" w:sz="0" w:space="0" w:color="auto"/>
      </w:divBdr>
    </w:div>
    <w:div w:id="1159274443">
      <w:bodyDiv w:val="1"/>
      <w:marLeft w:val="0"/>
      <w:marRight w:val="0"/>
      <w:marTop w:val="0"/>
      <w:marBottom w:val="0"/>
      <w:divBdr>
        <w:top w:val="none" w:sz="0" w:space="0" w:color="auto"/>
        <w:left w:val="none" w:sz="0" w:space="0" w:color="auto"/>
        <w:bottom w:val="none" w:sz="0" w:space="0" w:color="auto"/>
        <w:right w:val="none" w:sz="0" w:space="0" w:color="auto"/>
      </w:divBdr>
    </w:div>
    <w:div w:id="1195462777">
      <w:bodyDiv w:val="1"/>
      <w:marLeft w:val="0"/>
      <w:marRight w:val="0"/>
      <w:marTop w:val="0"/>
      <w:marBottom w:val="0"/>
      <w:divBdr>
        <w:top w:val="none" w:sz="0" w:space="0" w:color="auto"/>
        <w:left w:val="none" w:sz="0" w:space="0" w:color="auto"/>
        <w:bottom w:val="none" w:sz="0" w:space="0" w:color="auto"/>
        <w:right w:val="none" w:sz="0" w:space="0" w:color="auto"/>
      </w:divBdr>
    </w:div>
    <w:div w:id="1202665393">
      <w:bodyDiv w:val="1"/>
      <w:marLeft w:val="0"/>
      <w:marRight w:val="0"/>
      <w:marTop w:val="0"/>
      <w:marBottom w:val="0"/>
      <w:divBdr>
        <w:top w:val="none" w:sz="0" w:space="0" w:color="auto"/>
        <w:left w:val="none" w:sz="0" w:space="0" w:color="auto"/>
        <w:bottom w:val="none" w:sz="0" w:space="0" w:color="auto"/>
        <w:right w:val="none" w:sz="0" w:space="0" w:color="auto"/>
      </w:divBdr>
    </w:div>
    <w:div w:id="1224371279">
      <w:bodyDiv w:val="1"/>
      <w:marLeft w:val="0"/>
      <w:marRight w:val="0"/>
      <w:marTop w:val="0"/>
      <w:marBottom w:val="0"/>
      <w:divBdr>
        <w:top w:val="none" w:sz="0" w:space="0" w:color="auto"/>
        <w:left w:val="none" w:sz="0" w:space="0" w:color="auto"/>
        <w:bottom w:val="none" w:sz="0" w:space="0" w:color="auto"/>
        <w:right w:val="none" w:sz="0" w:space="0" w:color="auto"/>
      </w:divBdr>
    </w:div>
    <w:div w:id="1233125548">
      <w:bodyDiv w:val="1"/>
      <w:marLeft w:val="0"/>
      <w:marRight w:val="0"/>
      <w:marTop w:val="0"/>
      <w:marBottom w:val="0"/>
      <w:divBdr>
        <w:top w:val="none" w:sz="0" w:space="0" w:color="auto"/>
        <w:left w:val="none" w:sz="0" w:space="0" w:color="auto"/>
        <w:bottom w:val="none" w:sz="0" w:space="0" w:color="auto"/>
        <w:right w:val="none" w:sz="0" w:space="0" w:color="auto"/>
      </w:divBdr>
    </w:div>
    <w:div w:id="1263612384">
      <w:bodyDiv w:val="1"/>
      <w:marLeft w:val="0"/>
      <w:marRight w:val="0"/>
      <w:marTop w:val="0"/>
      <w:marBottom w:val="0"/>
      <w:divBdr>
        <w:top w:val="none" w:sz="0" w:space="0" w:color="auto"/>
        <w:left w:val="none" w:sz="0" w:space="0" w:color="auto"/>
        <w:bottom w:val="none" w:sz="0" w:space="0" w:color="auto"/>
        <w:right w:val="none" w:sz="0" w:space="0" w:color="auto"/>
      </w:divBdr>
    </w:div>
    <w:div w:id="1270770872">
      <w:bodyDiv w:val="1"/>
      <w:marLeft w:val="0"/>
      <w:marRight w:val="0"/>
      <w:marTop w:val="0"/>
      <w:marBottom w:val="0"/>
      <w:divBdr>
        <w:top w:val="none" w:sz="0" w:space="0" w:color="auto"/>
        <w:left w:val="none" w:sz="0" w:space="0" w:color="auto"/>
        <w:bottom w:val="none" w:sz="0" w:space="0" w:color="auto"/>
        <w:right w:val="none" w:sz="0" w:space="0" w:color="auto"/>
      </w:divBdr>
    </w:div>
    <w:div w:id="1390761113">
      <w:bodyDiv w:val="1"/>
      <w:marLeft w:val="0"/>
      <w:marRight w:val="0"/>
      <w:marTop w:val="0"/>
      <w:marBottom w:val="0"/>
      <w:divBdr>
        <w:top w:val="none" w:sz="0" w:space="0" w:color="auto"/>
        <w:left w:val="none" w:sz="0" w:space="0" w:color="auto"/>
        <w:bottom w:val="none" w:sz="0" w:space="0" w:color="auto"/>
        <w:right w:val="none" w:sz="0" w:space="0" w:color="auto"/>
      </w:divBdr>
    </w:div>
    <w:div w:id="1396706849">
      <w:bodyDiv w:val="1"/>
      <w:marLeft w:val="0"/>
      <w:marRight w:val="0"/>
      <w:marTop w:val="0"/>
      <w:marBottom w:val="0"/>
      <w:divBdr>
        <w:top w:val="none" w:sz="0" w:space="0" w:color="auto"/>
        <w:left w:val="none" w:sz="0" w:space="0" w:color="auto"/>
        <w:bottom w:val="none" w:sz="0" w:space="0" w:color="auto"/>
        <w:right w:val="none" w:sz="0" w:space="0" w:color="auto"/>
      </w:divBdr>
    </w:div>
    <w:div w:id="1400250746">
      <w:bodyDiv w:val="1"/>
      <w:marLeft w:val="0"/>
      <w:marRight w:val="0"/>
      <w:marTop w:val="0"/>
      <w:marBottom w:val="0"/>
      <w:divBdr>
        <w:top w:val="none" w:sz="0" w:space="0" w:color="auto"/>
        <w:left w:val="none" w:sz="0" w:space="0" w:color="auto"/>
        <w:bottom w:val="none" w:sz="0" w:space="0" w:color="auto"/>
        <w:right w:val="none" w:sz="0" w:space="0" w:color="auto"/>
      </w:divBdr>
    </w:div>
    <w:div w:id="1420755074">
      <w:bodyDiv w:val="1"/>
      <w:marLeft w:val="0"/>
      <w:marRight w:val="0"/>
      <w:marTop w:val="0"/>
      <w:marBottom w:val="0"/>
      <w:divBdr>
        <w:top w:val="none" w:sz="0" w:space="0" w:color="auto"/>
        <w:left w:val="none" w:sz="0" w:space="0" w:color="auto"/>
        <w:bottom w:val="none" w:sz="0" w:space="0" w:color="auto"/>
        <w:right w:val="none" w:sz="0" w:space="0" w:color="auto"/>
      </w:divBdr>
    </w:div>
    <w:div w:id="1437485770">
      <w:bodyDiv w:val="1"/>
      <w:marLeft w:val="0"/>
      <w:marRight w:val="0"/>
      <w:marTop w:val="0"/>
      <w:marBottom w:val="0"/>
      <w:divBdr>
        <w:top w:val="none" w:sz="0" w:space="0" w:color="auto"/>
        <w:left w:val="none" w:sz="0" w:space="0" w:color="auto"/>
        <w:bottom w:val="none" w:sz="0" w:space="0" w:color="auto"/>
        <w:right w:val="none" w:sz="0" w:space="0" w:color="auto"/>
      </w:divBdr>
    </w:div>
    <w:div w:id="1465075667">
      <w:bodyDiv w:val="1"/>
      <w:marLeft w:val="0"/>
      <w:marRight w:val="0"/>
      <w:marTop w:val="0"/>
      <w:marBottom w:val="0"/>
      <w:divBdr>
        <w:top w:val="none" w:sz="0" w:space="0" w:color="auto"/>
        <w:left w:val="none" w:sz="0" w:space="0" w:color="auto"/>
        <w:bottom w:val="none" w:sz="0" w:space="0" w:color="auto"/>
        <w:right w:val="none" w:sz="0" w:space="0" w:color="auto"/>
      </w:divBdr>
    </w:div>
    <w:div w:id="1475562106">
      <w:bodyDiv w:val="1"/>
      <w:marLeft w:val="0"/>
      <w:marRight w:val="0"/>
      <w:marTop w:val="0"/>
      <w:marBottom w:val="0"/>
      <w:divBdr>
        <w:top w:val="none" w:sz="0" w:space="0" w:color="auto"/>
        <w:left w:val="none" w:sz="0" w:space="0" w:color="auto"/>
        <w:bottom w:val="none" w:sz="0" w:space="0" w:color="auto"/>
        <w:right w:val="none" w:sz="0" w:space="0" w:color="auto"/>
      </w:divBdr>
    </w:div>
    <w:div w:id="1486629387">
      <w:bodyDiv w:val="1"/>
      <w:marLeft w:val="0"/>
      <w:marRight w:val="0"/>
      <w:marTop w:val="0"/>
      <w:marBottom w:val="0"/>
      <w:divBdr>
        <w:top w:val="none" w:sz="0" w:space="0" w:color="auto"/>
        <w:left w:val="none" w:sz="0" w:space="0" w:color="auto"/>
        <w:bottom w:val="none" w:sz="0" w:space="0" w:color="auto"/>
        <w:right w:val="none" w:sz="0" w:space="0" w:color="auto"/>
      </w:divBdr>
    </w:div>
    <w:div w:id="1495103795">
      <w:bodyDiv w:val="1"/>
      <w:marLeft w:val="0"/>
      <w:marRight w:val="0"/>
      <w:marTop w:val="0"/>
      <w:marBottom w:val="0"/>
      <w:divBdr>
        <w:top w:val="none" w:sz="0" w:space="0" w:color="auto"/>
        <w:left w:val="none" w:sz="0" w:space="0" w:color="auto"/>
        <w:bottom w:val="none" w:sz="0" w:space="0" w:color="auto"/>
        <w:right w:val="none" w:sz="0" w:space="0" w:color="auto"/>
      </w:divBdr>
    </w:div>
    <w:div w:id="1556819085">
      <w:bodyDiv w:val="1"/>
      <w:marLeft w:val="0"/>
      <w:marRight w:val="0"/>
      <w:marTop w:val="0"/>
      <w:marBottom w:val="0"/>
      <w:divBdr>
        <w:top w:val="none" w:sz="0" w:space="0" w:color="auto"/>
        <w:left w:val="none" w:sz="0" w:space="0" w:color="auto"/>
        <w:bottom w:val="none" w:sz="0" w:space="0" w:color="auto"/>
        <w:right w:val="none" w:sz="0" w:space="0" w:color="auto"/>
      </w:divBdr>
    </w:div>
    <w:div w:id="1673878235">
      <w:bodyDiv w:val="1"/>
      <w:marLeft w:val="0"/>
      <w:marRight w:val="0"/>
      <w:marTop w:val="0"/>
      <w:marBottom w:val="0"/>
      <w:divBdr>
        <w:top w:val="none" w:sz="0" w:space="0" w:color="auto"/>
        <w:left w:val="none" w:sz="0" w:space="0" w:color="auto"/>
        <w:bottom w:val="none" w:sz="0" w:space="0" w:color="auto"/>
        <w:right w:val="none" w:sz="0" w:space="0" w:color="auto"/>
      </w:divBdr>
    </w:div>
    <w:div w:id="1676377246">
      <w:bodyDiv w:val="1"/>
      <w:marLeft w:val="0"/>
      <w:marRight w:val="0"/>
      <w:marTop w:val="0"/>
      <w:marBottom w:val="0"/>
      <w:divBdr>
        <w:top w:val="none" w:sz="0" w:space="0" w:color="auto"/>
        <w:left w:val="none" w:sz="0" w:space="0" w:color="auto"/>
        <w:bottom w:val="none" w:sz="0" w:space="0" w:color="auto"/>
        <w:right w:val="none" w:sz="0" w:space="0" w:color="auto"/>
      </w:divBdr>
    </w:div>
    <w:div w:id="1699427160">
      <w:bodyDiv w:val="1"/>
      <w:marLeft w:val="0"/>
      <w:marRight w:val="0"/>
      <w:marTop w:val="0"/>
      <w:marBottom w:val="0"/>
      <w:divBdr>
        <w:top w:val="none" w:sz="0" w:space="0" w:color="auto"/>
        <w:left w:val="none" w:sz="0" w:space="0" w:color="auto"/>
        <w:bottom w:val="none" w:sz="0" w:space="0" w:color="auto"/>
        <w:right w:val="none" w:sz="0" w:space="0" w:color="auto"/>
      </w:divBdr>
    </w:div>
    <w:div w:id="1704867898">
      <w:bodyDiv w:val="1"/>
      <w:marLeft w:val="0"/>
      <w:marRight w:val="0"/>
      <w:marTop w:val="0"/>
      <w:marBottom w:val="0"/>
      <w:divBdr>
        <w:top w:val="none" w:sz="0" w:space="0" w:color="auto"/>
        <w:left w:val="none" w:sz="0" w:space="0" w:color="auto"/>
        <w:bottom w:val="none" w:sz="0" w:space="0" w:color="auto"/>
        <w:right w:val="none" w:sz="0" w:space="0" w:color="auto"/>
      </w:divBdr>
    </w:div>
    <w:div w:id="1821993982">
      <w:bodyDiv w:val="1"/>
      <w:marLeft w:val="0"/>
      <w:marRight w:val="0"/>
      <w:marTop w:val="0"/>
      <w:marBottom w:val="0"/>
      <w:divBdr>
        <w:top w:val="none" w:sz="0" w:space="0" w:color="auto"/>
        <w:left w:val="none" w:sz="0" w:space="0" w:color="auto"/>
        <w:bottom w:val="none" w:sz="0" w:space="0" w:color="auto"/>
        <w:right w:val="none" w:sz="0" w:space="0" w:color="auto"/>
      </w:divBdr>
    </w:div>
    <w:div w:id="1879050675">
      <w:bodyDiv w:val="1"/>
      <w:marLeft w:val="0"/>
      <w:marRight w:val="0"/>
      <w:marTop w:val="0"/>
      <w:marBottom w:val="0"/>
      <w:divBdr>
        <w:top w:val="none" w:sz="0" w:space="0" w:color="auto"/>
        <w:left w:val="none" w:sz="0" w:space="0" w:color="auto"/>
        <w:bottom w:val="none" w:sz="0" w:space="0" w:color="auto"/>
        <w:right w:val="none" w:sz="0" w:space="0" w:color="auto"/>
      </w:divBdr>
    </w:div>
    <w:div w:id="1899394631">
      <w:bodyDiv w:val="1"/>
      <w:marLeft w:val="0"/>
      <w:marRight w:val="0"/>
      <w:marTop w:val="0"/>
      <w:marBottom w:val="0"/>
      <w:divBdr>
        <w:top w:val="none" w:sz="0" w:space="0" w:color="auto"/>
        <w:left w:val="none" w:sz="0" w:space="0" w:color="auto"/>
        <w:bottom w:val="none" w:sz="0" w:space="0" w:color="auto"/>
        <w:right w:val="none" w:sz="0" w:space="0" w:color="auto"/>
      </w:divBdr>
    </w:div>
    <w:div w:id="1945189752">
      <w:bodyDiv w:val="1"/>
      <w:marLeft w:val="0"/>
      <w:marRight w:val="0"/>
      <w:marTop w:val="0"/>
      <w:marBottom w:val="0"/>
      <w:divBdr>
        <w:top w:val="none" w:sz="0" w:space="0" w:color="auto"/>
        <w:left w:val="none" w:sz="0" w:space="0" w:color="auto"/>
        <w:bottom w:val="none" w:sz="0" w:space="0" w:color="auto"/>
        <w:right w:val="none" w:sz="0" w:space="0" w:color="auto"/>
      </w:divBdr>
    </w:div>
    <w:div w:id="1976637482">
      <w:bodyDiv w:val="1"/>
      <w:marLeft w:val="0"/>
      <w:marRight w:val="0"/>
      <w:marTop w:val="0"/>
      <w:marBottom w:val="0"/>
      <w:divBdr>
        <w:top w:val="none" w:sz="0" w:space="0" w:color="auto"/>
        <w:left w:val="none" w:sz="0" w:space="0" w:color="auto"/>
        <w:bottom w:val="none" w:sz="0" w:space="0" w:color="auto"/>
        <w:right w:val="none" w:sz="0" w:space="0" w:color="auto"/>
      </w:divBdr>
    </w:div>
    <w:div w:id="1988239715">
      <w:bodyDiv w:val="1"/>
      <w:marLeft w:val="0"/>
      <w:marRight w:val="0"/>
      <w:marTop w:val="0"/>
      <w:marBottom w:val="0"/>
      <w:divBdr>
        <w:top w:val="none" w:sz="0" w:space="0" w:color="auto"/>
        <w:left w:val="none" w:sz="0" w:space="0" w:color="auto"/>
        <w:bottom w:val="none" w:sz="0" w:space="0" w:color="auto"/>
        <w:right w:val="none" w:sz="0" w:space="0" w:color="auto"/>
      </w:divBdr>
    </w:div>
    <w:div w:id="1996369766">
      <w:bodyDiv w:val="1"/>
      <w:marLeft w:val="0"/>
      <w:marRight w:val="0"/>
      <w:marTop w:val="0"/>
      <w:marBottom w:val="0"/>
      <w:divBdr>
        <w:top w:val="none" w:sz="0" w:space="0" w:color="auto"/>
        <w:left w:val="none" w:sz="0" w:space="0" w:color="auto"/>
        <w:bottom w:val="none" w:sz="0" w:space="0" w:color="auto"/>
        <w:right w:val="none" w:sz="0" w:space="0" w:color="auto"/>
      </w:divBdr>
    </w:div>
    <w:div w:id="1997800615">
      <w:bodyDiv w:val="1"/>
      <w:marLeft w:val="0"/>
      <w:marRight w:val="0"/>
      <w:marTop w:val="0"/>
      <w:marBottom w:val="0"/>
      <w:divBdr>
        <w:top w:val="none" w:sz="0" w:space="0" w:color="auto"/>
        <w:left w:val="none" w:sz="0" w:space="0" w:color="auto"/>
        <w:bottom w:val="none" w:sz="0" w:space="0" w:color="auto"/>
        <w:right w:val="none" w:sz="0" w:space="0" w:color="auto"/>
      </w:divBdr>
    </w:div>
    <w:div w:id="2023508178">
      <w:bodyDiv w:val="1"/>
      <w:marLeft w:val="0"/>
      <w:marRight w:val="0"/>
      <w:marTop w:val="0"/>
      <w:marBottom w:val="0"/>
      <w:divBdr>
        <w:top w:val="none" w:sz="0" w:space="0" w:color="auto"/>
        <w:left w:val="none" w:sz="0" w:space="0" w:color="auto"/>
        <w:bottom w:val="none" w:sz="0" w:space="0" w:color="auto"/>
        <w:right w:val="none" w:sz="0" w:space="0" w:color="auto"/>
      </w:divBdr>
    </w:div>
    <w:div w:id="2091734362">
      <w:bodyDiv w:val="1"/>
      <w:marLeft w:val="0"/>
      <w:marRight w:val="0"/>
      <w:marTop w:val="0"/>
      <w:marBottom w:val="0"/>
      <w:divBdr>
        <w:top w:val="none" w:sz="0" w:space="0" w:color="auto"/>
        <w:left w:val="none" w:sz="0" w:space="0" w:color="auto"/>
        <w:bottom w:val="none" w:sz="0" w:space="0" w:color="auto"/>
        <w:right w:val="none" w:sz="0" w:space="0" w:color="auto"/>
      </w:divBdr>
    </w:div>
    <w:div w:id="211323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diagramQuickStyle" Target="diagrams/quickStyle1.xml"/><Relationship Id="rId18" Type="http://schemas.openxmlformats.org/officeDocument/2006/relationships/footer" Target="footer2.xm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diagramLayout" Target="diagrams/layout1.xml"/><Relationship Id="rId17" Type="http://schemas.openxmlformats.org/officeDocument/2006/relationships/image" Target="media/image2.png"/><Relationship Id="rId25" Type="http://schemas.openxmlformats.org/officeDocument/2006/relationships/chart" Target="charts/chart7.xml"/><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chart" Target="charts/chart6.xml"/><Relationship Id="rId32" Type="http://schemas.openxmlformats.org/officeDocument/2006/relationships/chart" Target="charts/chart14.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chart" Target="charts/chart5.xml"/><Relationship Id="rId28" Type="http://schemas.openxmlformats.org/officeDocument/2006/relationships/chart" Target="charts/chart10.xm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chart" Target="charts/chart13.xml"/><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diagramColors" Target="diagrams/colors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3.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b="0">
                <a:solidFill>
                  <a:schemeClr val="tx1"/>
                </a:solidFill>
                <a:latin typeface="ＭＳ ゴシック" panose="020B0609070205080204" pitchFamily="49" charset="-128"/>
                <a:ea typeface="ＭＳ ゴシック" panose="020B0609070205080204" pitchFamily="49" charset="-128"/>
              </a:rPr>
              <a:t>【</a:t>
            </a:r>
            <a:r>
              <a:rPr lang="ja-JP" altLang="en-US" b="0">
                <a:solidFill>
                  <a:schemeClr val="tx1"/>
                </a:solidFill>
                <a:latin typeface="ＭＳ ゴシック" panose="020B0609070205080204" pitchFamily="49" charset="-128"/>
                <a:ea typeface="ＭＳ ゴシック" panose="020B0609070205080204" pitchFamily="49" charset="-128"/>
              </a:rPr>
              <a:t>図１</a:t>
            </a:r>
            <a:r>
              <a:rPr lang="en-US" altLang="ja-JP" b="0">
                <a:solidFill>
                  <a:schemeClr val="tx1"/>
                </a:solidFill>
                <a:latin typeface="ＭＳ ゴシック" panose="020B0609070205080204" pitchFamily="49" charset="-128"/>
                <a:ea typeface="ＭＳ ゴシック" panose="020B0609070205080204" pitchFamily="49" charset="-128"/>
              </a:rPr>
              <a:t>】</a:t>
            </a:r>
            <a:r>
              <a:rPr lang="ja-JP" altLang="en-US" b="0">
                <a:solidFill>
                  <a:schemeClr val="tx1"/>
                </a:solidFill>
                <a:latin typeface="ＭＳ ゴシック" panose="020B0609070205080204" pitchFamily="49" charset="-128"/>
                <a:ea typeface="ＭＳ ゴシック" panose="020B0609070205080204" pitchFamily="49" charset="-128"/>
              </a:rPr>
              <a:t>平均寿命の推移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barChart>
        <c:barDir val="col"/>
        <c:grouping val="clustered"/>
        <c:varyColors val="0"/>
        <c:ser>
          <c:idx val="0"/>
          <c:order val="0"/>
          <c:tx>
            <c:strRef>
              <c:f>'Sheet2 (2)'!$X$19</c:f>
              <c:strCache>
                <c:ptCount val="1"/>
                <c:pt idx="0">
                  <c:v>Ｈ27平均寿命</c:v>
                </c:pt>
              </c:strCache>
            </c:strRef>
          </c:tx>
          <c:spPr>
            <a:solidFill>
              <a:schemeClr val="accent1"/>
            </a:solidFill>
            <a:ln>
              <a:noFill/>
            </a:ln>
            <a:effectLst/>
          </c:spPr>
          <c:invertIfNegative val="0"/>
          <c:cat>
            <c:strRef>
              <c:f>'Sheet2 (2)'!$W$20:$W$23</c:f>
              <c:strCache>
                <c:ptCount val="4"/>
                <c:pt idx="0">
                  <c:v>鶴ヶ島市（男性）</c:v>
                </c:pt>
                <c:pt idx="1">
                  <c:v>埼玉県（男性）</c:v>
                </c:pt>
                <c:pt idx="2">
                  <c:v>鶴ヶ島市（女性）</c:v>
                </c:pt>
                <c:pt idx="3">
                  <c:v>埼玉県（女性）</c:v>
                </c:pt>
              </c:strCache>
            </c:strRef>
          </c:cat>
          <c:val>
            <c:numRef>
              <c:f>'Sheet2 (2)'!$X$20:$X$23</c:f>
              <c:numCache>
                <c:formatCode>General</c:formatCode>
                <c:ptCount val="4"/>
                <c:pt idx="0">
                  <c:v>81.03</c:v>
                </c:pt>
                <c:pt idx="1">
                  <c:v>80.28</c:v>
                </c:pt>
                <c:pt idx="2">
                  <c:v>86.85</c:v>
                </c:pt>
                <c:pt idx="3">
                  <c:v>86.35</c:v>
                </c:pt>
              </c:numCache>
            </c:numRef>
          </c:val>
          <c:extLst>
            <c:ext xmlns:c16="http://schemas.microsoft.com/office/drawing/2014/chart" uri="{C3380CC4-5D6E-409C-BE32-E72D297353CC}">
              <c16:uniqueId val="{00000000-BF02-4EE4-B4D5-59573A6BFDFB}"/>
            </c:ext>
          </c:extLst>
        </c:ser>
        <c:ser>
          <c:idx val="1"/>
          <c:order val="1"/>
          <c:tx>
            <c:strRef>
              <c:f>'Sheet2 (2)'!$Y$19</c:f>
              <c:strCache>
                <c:ptCount val="1"/>
                <c:pt idx="0">
                  <c:v>H30平均寿命</c:v>
                </c:pt>
              </c:strCache>
            </c:strRef>
          </c:tx>
          <c:spPr>
            <a:pattFill prst="ltDnDiag">
              <a:fgClr>
                <a:schemeClr val="tx1"/>
              </a:fgClr>
              <a:bgClr>
                <a:schemeClr val="bg1"/>
              </a:bgClr>
            </a:pattFill>
            <a:ln>
              <a:solidFill>
                <a:schemeClr val="tx1"/>
              </a:solidFill>
            </a:ln>
            <a:effectLst/>
          </c:spPr>
          <c:invertIfNegative val="0"/>
          <c:cat>
            <c:strRef>
              <c:f>'Sheet2 (2)'!$W$20:$W$23</c:f>
              <c:strCache>
                <c:ptCount val="4"/>
                <c:pt idx="0">
                  <c:v>鶴ヶ島市（男性）</c:v>
                </c:pt>
                <c:pt idx="1">
                  <c:v>埼玉県（男性）</c:v>
                </c:pt>
                <c:pt idx="2">
                  <c:v>鶴ヶ島市（女性）</c:v>
                </c:pt>
                <c:pt idx="3">
                  <c:v>埼玉県（女性）</c:v>
                </c:pt>
              </c:strCache>
            </c:strRef>
          </c:cat>
          <c:val>
            <c:numRef>
              <c:f>'Sheet2 (2)'!$Y$20:$Y$23</c:f>
              <c:numCache>
                <c:formatCode>General</c:formatCode>
                <c:ptCount val="4"/>
                <c:pt idx="0">
                  <c:v>81.72</c:v>
                </c:pt>
                <c:pt idx="1">
                  <c:v>81.010000000000005</c:v>
                </c:pt>
                <c:pt idx="2">
                  <c:v>86.98</c:v>
                </c:pt>
                <c:pt idx="3">
                  <c:v>86.94</c:v>
                </c:pt>
              </c:numCache>
            </c:numRef>
          </c:val>
          <c:extLst>
            <c:ext xmlns:c16="http://schemas.microsoft.com/office/drawing/2014/chart" uri="{C3380CC4-5D6E-409C-BE32-E72D297353CC}">
              <c16:uniqueId val="{00000001-BF02-4EE4-B4D5-59573A6BFDFB}"/>
            </c:ext>
          </c:extLst>
        </c:ser>
        <c:dLbls>
          <c:showLegendKey val="0"/>
          <c:showVal val="0"/>
          <c:showCatName val="0"/>
          <c:showSerName val="0"/>
          <c:showPercent val="0"/>
          <c:showBubbleSize val="0"/>
        </c:dLbls>
        <c:gapWidth val="219"/>
        <c:overlap val="-27"/>
        <c:axId val="637489192"/>
        <c:axId val="637488208"/>
      </c:barChart>
      <c:catAx>
        <c:axId val="637489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37488208"/>
        <c:crosses val="autoZero"/>
        <c:auto val="1"/>
        <c:lblAlgn val="ctr"/>
        <c:lblOffset val="100"/>
        <c:noMultiLvlLbl val="0"/>
      </c:catAx>
      <c:valAx>
        <c:axId val="637488208"/>
        <c:scaling>
          <c:orientation val="minMax"/>
          <c:max val="90"/>
          <c:min val="75"/>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r>
                  <a:rPr lang="ja-JP" altLang="en-US">
                    <a:latin typeface="+mj-ea"/>
                    <a:ea typeface="+mj-ea"/>
                  </a:rPr>
                  <a:t>歳</a:t>
                </a:r>
              </a:p>
            </c:rich>
          </c:tx>
          <c:layout>
            <c:manualLayout>
              <c:xMode val="edge"/>
              <c:yMode val="edge"/>
              <c:x val="0.18463674274218259"/>
              <c:y val="9.401370283260046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63748919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ea"/>
                <a:ea typeface="+mj-ea"/>
                <a:cs typeface="+mn-cs"/>
              </a:defRPr>
            </a:pPr>
            <a:endParaRPr lang="ja-JP"/>
          </a:p>
        </c:txPr>
      </c:dTable>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atin typeface="ＭＳ ゴシック" panose="020B0609070205080204" pitchFamily="49" charset="-128"/>
                <a:ea typeface="ＭＳ ゴシック" panose="020B0609070205080204" pitchFamily="49" charset="-128"/>
              </a:rPr>
              <a:t>【</a:t>
            </a:r>
            <a:r>
              <a:rPr lang="ja-JP">
                <a:latin typeface="ＭＳ ゴシック" panose="020B0609070205080204" pitchFamily="49" charset="-128"/>
                <a:ea typeface="ＭＳ ゴシック" panose="020B0609070205080204" pitchFamily="49" charset="-128"/>
              </a:rPr>
              <a:t>図８</a:t>
            </a:r>
            <a:r>
              <a:rPr lang="en-US">
                <a:latin typeface="ＭＳ ゴシック" panose="020B0609070205080204" pitchFamily="49" charset="-128"/>
                <a:ea typeface="ＭＳ ゴシック" panose="020B0609070205080204" pitchFamily="49" charset="-128"/>
              </a:rPr>
              <a:t>】</a:t>
            </a:r>
            <a:r>
              <a:rPr lang="ja-JP">
                <a:latin typeface="ＭＳ ゴシック" panose="020B0609070205080204" pitchFamily="49" charset="-128"/>
                <a:ea typeface="ＭＳ ゴシック" panose="020B0609070205080204" pitchFamily="49" charset="-128"/>
              </a:rPr>
              <a:t>１人当たり医療費</a:t>
            </a:r>
            <a:r>
              <a:rPr lang="ja-JP" altLang="en-US">
                <a:latin typeface="ＭＳ ゴシック" panose="020B0609070205080204" pitchFamily="49" charset="-128"/>
                <a:ea typeface="ＭＳ ゴシック" panose="020B0609070205080204" pitchFamily="49" charset="-128"/>
              </a:rPr>
              <a:t>の推移</a:t>
            </a:r>
            <a:endParaRPr lang="ja-JP">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2886029624845791"/>
          <c:y val="0.12586773474124982"/>
          <c:w val="0.81271218857895133"/>
          <c:h val="0.68638022848300029"/>
        </c:manualLayout>
      </c:layout>
      <c:lineChart>
        <c:grouping val="standard"/>
        <c:varyColors val="0"/>
        <c:ser>
          <c:idx val="0"/>
          <c:order val="0"/>
          <c:tx>
            <c:strRef>
              <c:f>'Sheet2 (2)'!$AH$20</c:f>
              <c:strCache>
                <c:ptCount val="1"/>
                <c:pt idx="0">
                  <c:v>鶴ヶ島市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4.3709749397849634E-2"/>
                  <c:y val="5.03065275685303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62-4A2F-A40B-C08B57F3B54B}"/>
                </c:ext>
              </c:extLst>
            </c:dLbl>
            <c:dLbl>
              <c:idx val="1"/>
              <c:layout>
                <c:manualLayout>
                  <c:x val="-6.1080784870333797E-2"/>
                  <c:y val="5.83508417000840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62-4A2F-A40B-C08B57F3B54B}"/>
                </c:ext>
              </c:extLst>
            </c:dLbl>
            <c:dLbl>
              <c:idx val="2"/>
              <c:layout>
                <c:manualLayout>
                  <c:x val="-5.856743293555746E-2"/>
                  <c:y val="5.8350841700084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62-4A2F-A40B-C08B57F3B54B}"/>
                </c:ext>
              </c:extLst>
            </c:dLbl>
            <c:dLbl>
              <c:idx val="3"/>
              <c:layout>
                <c:manualLayout>
                  <c:x val="-5.8567432935557641E-2"/>
                  <c:y val="5.03065996355387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62-4A2F-A40B-C08B57F3B5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(2)'!$AI$19:$AL$19</c:f>
              <c:strCache>
                <c:ptCount val="4"/>
                <c:pt idx="0">
                  <c:v>H28</c:v>
                </c:pt>
                <c:pt idx="1">
                  <c:v>H29</c:v>
                </c:pt>
                <c:pt idx="2">
                  <c:v>H30</c:v>
                </c:pt>
                <c:pt idx="3">
                  <c:v>R元</c:v>
                </c:pt>
              </c:strCache>
            </c:strRef>
          </c:cat>
          <c:val>
            <c:numRef>
              <c:f>'Sheet2 (2)'!$AI$20:$AL$20</c:f>
              <c:numCache>
                <c:formatCode>#,##0_);[Red]\(#,##0\)</c:formatCode>
                <c:ptCount val="4"/>
                <c:pt idx="0">
                  <c:v>273071</c:v>
                </c:pt>
                <c:pt idx="1">
                  <c:v>279052</c:v>
                </c:pt>
                <c:pt idx="2">
                  <c:v>281200</c:v>
                </c:pt>
                <c:pt idx="3">
                  <c:v>288249</c:v>
                </c:pt>
              </c:numCache>
            </c:numRef>
          </c:val>
          <c:smooth val="0"/>
          <c:extLst>
            <c:ext xmlns:c16="http://schemas.microsoft.com/office/drawing/2014/chart" uri="{C3380CC4-5D6E-409C-BE32-E72D297353CC}">
              <c16:uniqueId val="{00000004-A462-4A2F-A40B-C08B57F3B54B}"/>
            </c:ext>
          </c:extLst>
        </c:ser>
        <c:ser>
          <c:idx val="1"/>
          <c:order val="1"/>
          <c:tx>
            <c:strRef>
              <c:f>'Sheet2 (2)'!$AH$21</c:f>
              <c:strCache>
                <c:ptCount val="1"/>
                <c:pt idx="0">
                  <c:v>埼玉県</c:v>
                </c:pt>
              </c:strCache>
            </c:strRef>
          </c:tx>
          <c:spPr>
            <a:ln w="28575" cap="rnd">
              <a:solidFill>
                <a:schemeClr val="accent2"/>
              </a:solidFill>
              <a:round/>
            </a:ln>
            <a:effectLst/>
          </c:spPr>
          <c:marker>
            <c:symbol val="square"/>
            <c:size val="5"/>
            <c:spPr>
              <a:solidFill>
                <a:schemeClr val="accent2"/>
              </a:solidFill>
              <a:ln w="9525">
                <a:solidFill>
                  <a:schemeClr val="accent2"/>
                </a:solidFill>
              </a:ln>
              <a:effectLst/>
            </c:spPr>
          </c:marker>
          <c:dLbls>
            <c:dLbl>
              <c:idx val="0"/>
              <c:layout>
                <c:manualLayout>
                  <c:x val="-9.4137979615715239E-2"/>
                  <c:y val="-4.5691463657295636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manualLayout>
                      <c:w val="8.7508326376140477E-2"/>
                      <c:h val="3.8435809242256265E-2"/>
                    </c:manualLayout>
                  </c15:layout>
                </c:ext>
                <c:ext xmlns:c16="http://schemas.microsoft.com/office/drawing/2014/chart" uri="{C3380CC4-5D6E-409C-BE32-E72D297353CC}">
                  <c16:uniqueId val="{00000005-A462-4A2F-A40B-C08B57F3B54B}"/>
                </c:ext>
              </c:extLst>
            </c:dLbl>
            <c:dLbl>
              <c:idx val="2"/>
              <c:layout>
                <c:manualLayout>
                  <c:x val="-6.4700398254634653E-2"/>
                  <c:y val="-4.9256198347107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A462-4A2F-A40B-C08B57F3B54B}"/>
                </c:ext>
              </c:extLst>
            </c:dLbl>
            <c:dLbl>
              <c:idx val="3"/>
              <c:layout>
                <c:manualLayout>
                  <c:x val="6.803282081853333E-3"/>
                  <c:y val="-1.6994219653179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462-4A2F-A40B-C08B57F3B5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(2)'!$AI$19:$AL$19</c:f>
              <c:strCache>
                <c:ptCount val="4"/>
                <c:pt idx="0">
                  <c:v>H28</c:v>
                </c:pt>
                <c:pt idx="1">
                  <c:v>H29</c:v>
                </c:pt>
                <c:pt idx="2">
                  <c:v>H30</c:v>
                </c:pt>
                <c:pt idx="3">
                  <c:v>R元</c:v>
                </c:pt>
              </c:strCache>
            </c:strRef>
          </c:cat>
          <c:val>
            <c:numRef>
              <c:f>'Sheet2 (2)'!$AI$21:$AL$21</c:f>
              <c:numCache>
                <c:formatCode>#,##0_);[Red]\(#,##0\)</c:formatCode>
                <c:ptCount val="4"/>
                <c:pt idx="0">
                  <c:v>262367</c:v>
                </c:pt>
                <c:pt idx="1">
                  <c:v>281702</c:v>
                </c:pt>
                <c:pt idx="2">
                  <c:v>282897</c:v>
                </c:pt>
                <c:pt idx="3">
                  <c:v>297242</c:v>
                </c:pt>
              </c:numCache>
            </c:numRef>
          </c:val>
          <c:smooth val="0"/>
          <c:extLst>
            <c:ext xmlns:c16="http://schemas.microsoft.com/office/drawing/2014/chart" uri="{C3380CC4-5D6E-409C-BE32-E72D297353CC}">
              <c16:uniqueId val="{00000006-A462-4A2F-A40B-C08B57F3B54B}"/>
            </c:ext>
          </c:extLst>
        </c:ser>
        <c:dLbls>
          <c:dLblPos val="t"/>
          <c:showLegendKey val="0"/>
          <c:showVal val="1"/>
          <c:showCatName val="0"/>
          <c:showSerName val="0"/>
          <c:showPercent val="0"/>
          <c:showBubbleSize val="0"/>
        </c:dLbls>
        <c:marker val="1"/>
        <c:smooth val="0"/>
        <c:axId val="510622848"/>
        <c:axId val="510618256"/>
      </c:lineChart>
      <c:catAx>
        <c:axId val="5106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10618256"/>
        <c:crosses val="autoZero"/>
        <c:auto val="1"/>
        <c:lblAlgn val="ctr"/>
        <c:lblOffset val="100"/>
        <c:noMultiLvlLbl val="0"/>
      </c:catAx>
      <c:valAx>
        <c:axId val="510618256"/>
        <c:scaling>
          <c:orientation val="minMax"/>
          <c:min val="26000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r>
                  <a:rPr lang="ja-JP" altLang="en-US">
                    <a:latin typeface="+mj-ea"/>
                    <a:ea typeface="+mj-ea"/>
                  </a:rPr>
                  <a:t>円</a:t>
                </a:r>
                <a:endParaRPr lang="ja-JP">
                  <a:latin typeface="+mj-ea"/>
                  <a:ea typeface="+mj-ea"/>
                </a:endParaRPr>
              </a:p>
            </c:rich>
          </c:tx>
          <c:layout>
            <c:manualLayout>
              <c:xMode val="edge"/>
              <c:yMode val="edge"/>
              <c:x val="0.1198698427680767"/>
              <c:y val="4.9675177886001246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106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62" b="0" i="0" u="none" strike="noStrike" kern="1200" spc="0" baseline="0">
                <a:ln>
                  <a:noFill/>
                </a:ln>
                <a:solidFill>
                  <a:schemeClr val="tx1"/>
                </a:solidFill>
                <a:latin typeface="ＭＳ ゴシック" panose="020B0609070205080204" pitchFamily="49" charset="-128"/>
                <a:ea typeface="ＭＳ ゴシック" panose="020B0609070205080204" pitchFamily="49" charset="-128"/>
                <a:cs typeface="+mn-cs"/>
              </a:defRPr>
            </a:pPr>
            <a:r>
              <a:rPr lang="en-US" altLang="ja-JP" sz="1400">
                <a:solidFill>
                  <a:schemeClr val="tx1"/>
                </a:solidFill>
                <a:latin typeface="ＭＳ ゴシック" panose="020B0609070205080204" pitchFamily="49" charset="-128"/>
                <a:ea typeface="ＭＳ ゴシック" panose="020B0609070205080204" pitchFamily="49" charset="-128"/>
              </a:rPr>
              <a:t>【</a:t>
            </a:r>
            <a:r>
              <a:rPr lang="ja-JP" altLang="en-US" sz="1400">
                <a:solidFill>
                  <a:schemeClr val="tx1"/>
                </a:solidFill>
                <a:latin typeface="ＭＳ ゴシック" panose="020B0609070205080204" pitchFamily="49" charset="-128"/>
                <a:ea typeface="ＭＳ ゴシック" panose="020B0609070205080204" pitchFamily="49" charset="-128"/>
              </a:rPr>
              <a:t>図９</a:t>
            </a:r>
            <a:r>
              <a:rPr lang="en-US" altLang="ja-JP" sz="1400">
                <a:solidFill>
                  <a:schemeClr val="tx1"/>
                </a:solidFill>
                <a:latin typeface="ＭＳ ゴシック" panose="020B0609070205080204" pitchFamily="49" charset="-128"/>
                <a:ea typeface="ＭＳ ゴシック" panose="020B0609070205080204" pitchFamily="49" charset="-128"/>
              </a:rPr>
              <a:t>】</a:t>
            </a:r>
            <a:r>
              <a:rPr lang="ja-JP" sz="1400">
                <a:solidFill>
                  <a:schemeClr val="tx1"/>
                </a:solidFill>
                <a:latin typeface="ＭＳ ゴシック" panose="020B0609070205080204" pitchFamily="49" charset="-128"/>
                <a:ea typeface="ＭＳ ゴシック" panose="020B0609070205080204" pitchFamily="49" charset="-128"/>
              </a:rPr>
              <a:t>生活習慣病疾病別医療費（</a:t>
            </a:r>
            <a:r>
              <a:rPr lang="en-US" altLang="ja-JP" sz="1400">
                <a:solidFill>
                  <a:schemeClr val="tx1"/>
                </a:solidFill>
                <a:latin typeface="ＭＳ ゴシック" panose="020B0609070205080204" pitchFamily="49" charset="-128"/>
                <a:ea typeface="ＭＳ ゴシック" panose="020B0609070205080204" pitchFamily="49" charset="-128"/>
              </a:rPr>
              <a:t>1</a:t>
            </a:r>
            <a:r>
              <a:rPr lang="ja-JP" altLang="en-US" sz="1400">
                <a:solidFill>
                  <a:schemeClr val="tx1"/>
                </a:solidFill>
                <a:latin typeface="ＭＳ ゴシック" panose="020B0609070205080204" pitchFamily="49" charset="-128"/>
                <a:ea typeface="ＭＳ ゴシック" panose="020B0609070205080204" pitchFamily="49" charset="-128"/>
              </a:rPr>
              <a:t>人</a:t>
            </a:r>
            <a:r>
              <a:rPr lang="ja-JP" sz="1400">
                <a:solidFill>
                  <a:schemeClr val="tx1"/>
                </a:solidFill>
                <a:latin typeface="ＭＳ ゴシック" panose="020B0609070205080204" pitchFamily="49" charset="-128"/>
                <a:ea typeface="ＭＳ ゴシック" panose="020B0609070205080204" pitchFamily="49" charset="-128"/>
              </a:rPr>
              <a:t>当たり）</a:t>
            </a:r>
            <a:r>
              <a:rPr lang="ja-JP" altLang="en-US" sz="1400">
                <a:solidFill>
                  <a:schemeClr val="tx1"/>
                </a:solidFill>
                <a:latin typeface="ＭＳ ゴシック" panose="020B0609070205080204" pitchFamily="49" charset="-128"/>
                <a:ea typeface="ＭＳ ゴシック" panose="020B0609070205080204" pitchFamily="49" charset="-128"/>
              </a:rPr>
              <a:t>の推移</a:t>
            </a:r>
            <a:endParaRPr lang="ja-JP" sz="1400">
              <a:solidFill>
                <a:schemeClr val="tx1"/>
              </a:solidFill>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862" b="0" i="0" u="none" strike="noStrike" kern="1200" spc="0" baseline="0">
              <a:ln>
                <a:noFill/>
              </a:ln>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0502978982830766"/>
          <c:y val="0.1232463589110185"/>
          <c:w val="0.85191545626932375"/>
          <c:h val="0.60614115858468509"/>
        </c:manualLayout>
      </c:layout>
      <c:lineChart>
        <c:grouping val="standard"/>
        <c:varyColors val="0"/>
        <c:ser>
          <c:idx val="0"/>
          <c:order val="0"/>
          <c:tx>
            <c:strRef>
              <c:f>Sheet1!$B$1</c:f>
              <c:strCache>
                <c:ptCount val="1"/>
                <c:pt idx="0">
                  <c:v>高血圧症</c:v>
                </c:pt>
              </c:strCache>
            </c:strRef>
          </c:tx>
          <c:spPr>
            <a:ln w="28575" cap="rnd">
              <a:solidFill>
                <a:srgbClr val="7030A0"/>
              </a:solidFill>
              <a:round/>
              <a:headEnd type="none"/>
              <a:tailEnd type="diamond"/>
            </a:ln>
            <a:effectLst/>
          </c:spPr>
          <c:marker>
            <c:symbol val="diamond"/>
            <c:size val="12"/>
            <c:spPr>
              <a:solidFill>
                <a:srgbClr val="7030A0"/>
              </a:solidFill>
              <a:ln w="9525">
                <a:solidFill>
                  <a:schemeClr val="accent1"/>
                </a:solidFill>
              </a:ln>
              <a:effectLst/>
            </c:spPr>
          </c:marker>
          <c:dLbls>
            <c:dLbl>
              <c:idx val="0"/>
              <c:layout>
                <c:manualLayout>
                  <c:x val="-3.6231884057971236E-3"/>
                  <c:y val="7.71934599081246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565-4292-85C7-8286016501A5}"/>
                </c:ext>
              </c:extLst>
            </c:dLbl>
            <c:dLbl>
              <c:idx val="1"/>
              <c:layout>
                <c:manualLayout>
                  <c:x val="-6.038647342995169E-3"/>
                  <c:y val="6.47429018584271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65-4292-85C7-8286016501A5}"/>
                </c:ext>
              </c:extLst>
            </c:dLbl>
            <c:dLbl>
              <c:idx val="2"/>
              <c:layout>
                <c:manualLayout>
                  <c:x val="-3.62318840579719E-3"/>
                  <c:y val="5.22923438087295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565-4292-85C7-8286016501A5}"/>
                </c:ext>
              </c:extLst>
            </c:dLbl>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Sheet1!$B$2:$B$5</c:f>
              <c:numCache>
                <c:formatCode>#,##0</c:formatCode>
                <c:ptCount val="4"/>
                <c:pt idx="0">
                  <c:v>13650</c:v>
                </c:pt>
                <c:pt idx="1">
                  <c:v>12762</c:v>
                </c:pt>
                <c:pt idx="2">
                  <c:v>10606</c:v>
                </c:pt>
                <c:pt idx="3">
                  <c:v>10152</c:v>
                </c:pt>
              </c:numCache>
            </c:numRef>
          </c:val>
          <c:smooth val="0"/>
          <c:extLst>
            <c:ext xmlns:c16="http://schemas.microsoft.com/office/drawing/2014/chart" uri="{C3380CC4-5D6E-409C-BE32-E72D297353CC}">
              <c16:uniqueId val="{00000003-F565-4292-85C7-8286016501A5}"/>
            </c:ext>
          </c:extLst>
        </c:ser>
        <c:ser>
          <c:idx val="1"/>
          <c:order val="1"/>
          <c:tx>
            <c:strRef>
              <c:f>Sheet1!$C$1</c:f>
              <c:strCache>
                <c:ptCount val="1"/>
                <c:pt idx="0">
                  <c:v>糖尿病</c:v>
                </c:pt>
              </c:strCache>
            </c:strRef>
          </c:tx>
          <c:spPr>
            <a:ln w="28575" cap="rnd">
              <a:solidFill>
                <a:schemeClr val="accent2"/>
              </a:solidFill>
              <a:round/>
            </a:ln>
            <a:effectLst/>
          </c:spPr>
          <c:marker>
            <c:symbol val="square"/>
            <c:size val="10"/>
            <c:spPr>
              <a:solidFill>
                <a:schemeClr val="accent2"/>
              </a:solidFill>
              <a:ln w="9525">
                <a:solidFill>
                  <a:schemeClr val="accent2"/>
                </a:solidFill>
              </a:ln>
              <a:effectLst/>
            </c:spPr>
          </c:marker>
          <c:dLbls>
            <c:dLbl>
              <c:idx val="0"/>
              <c:layout>
                <c:manualLayout>
                  <c:x val="4.8309178743961134E-3"/>
                  <c:y val="3.48615625391531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565-4292-85C7-8286016501A5}"/>
                </c:ext>
              </c:extLst>
            </c:dLbl>
            <c:dLbl>
              <c:idx val="1"/>
              <c:layout>
                <c:manualLayout>
                  <c:x val="0"/>
                  <c:y val="5.22923438087295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565-4292-85C7-8286016501A5}"/>
                </c:ext>
              </c:extLst>
            </c:dLbl>
            <c:dLbl>
              <c:idx val="2"/>
              <c:layout>
                <c:manualLayout>
                  <c:x val="1.2077294685990338E-3"/>
                  <c:y val="3.984178575903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565-4292-85C7-8286016501A5}"/>
                </c:ext>
              </c:extLst>
            </c:dLbl>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Sheet1!$C$2:$C$5</c:f>
              <c:numCache>
                <c:formatCode>#,##0</c:formatCode>
                <c:ptCount val="4"/>
                <c:pt idx="0">
                  <c:v>15454</c:v>
                </c:pt>
                <c:pt idx="1">
                  <c:v>16038</c:v>
                </c:pt>
                <c:pt idx="2">
                  <c:v>15640</c:v>
                </c:pt>
                <c:pt idx="3">
                  <c:v>15751</c:v>
                </c:pt>
              </c:numCache>
            </c:numRef>
          </c:val>
          <c:smooth val="0"/>
          <c:extLst>
            <c:ext xmlns:c16="http://schemas.microsoft.com/office/drawing/2014/chart" uri="{C3380CC4-5D6E-409C-BE32-E72D297353CC}">
              <c16:uniqueId val="{00000007-F565-4292-85C7-8286016501A5}"/>
            </c:ext>
          </c:extLst>
        </c:ser>
        <c:ser>
          <c:idx val="2"/>
          <c:order val="2"/>
          <c:tx>
            <c:strRef>
              <c:f>Sheet1!$D$1</c:f>
              <c:strCache>
                <c:ptCount val="1"/>
                <c:pt idx="0">
                  <c:v>心筋梗塞</c:v>
                </c:pt>
              </c:strCache>
            </c:strRef>
          </c:tx>
          <c:spPr>
            <a:ln w="28575" cap="rnd">
              <a:solidFill>
                <a:srgbClr val="FF0000"/>
              </a:solidFill>
              <a:round/>
            </a:ln>
            <a:effectLst/>
          </c:spPr>
          <c:marker>
            <c:symbol val="star"/>
            <c:size val="10"/>
            <c:spPr>
              <a:noFill/>
              <a:ln w="9525">
                <a:solidFill>
                  <a:srgbClr val="FF0000"/>
                </a:solidFill>
              </a:ln>
              <a:effectLst/>
            </c:spPr>
          </c:marker>
          <c:dLbls>
            <c:dLbl>
              <c:idx val="0"/>
              <c:layout>
                <c:manualLayout>
                  <c:x val="3.6231884057970794E-3"/>
                  <c:y val="3.73516741490924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F565-4292-85C7-8286016501A5}"/>
                </c:ext>
              </c:extLst>
            </c:dLbl>
            <c:dLbl>
              <c:idx val="1"/>
              <c:layout>
                <c:manualLayout>
                  <c:x val="6.038647342995169E-3"/>
                  <c:y val="3.73516741490925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565-4292-85C7-8286016501A5}"/>
                </c:ext>
              </c:extLst>
            </c:dLbl>
            <c:dLbl>
              <c:idx val="2"/>
              <c:layout>
                <c:manualLayout>
                  <c:x val="4.8309178743960466E-3"/>
                  <c:y val="-3.98417857590321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565-4292-85C7-8286016501A5}"/>
                </c:ext>
              </c:extLst>
            </c:dLbl>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Sheet1!$D$2:$D$5</c:f>
              <c:numCache>
                <c:formatCode>General</c:formatCode>
                <c:ptCount val="4"/>
                <c:pt idx="0" formatCode="#,##0">
                  <c:v>1163</c:v>
                </c:pt>
                <c:pt idx="1">
                  <c:v>916</c:v>
                </c:pt>
                <c:pt idx="2" formatCode="#,##0">
                  <c:v>1460</c:v>
                </c:pt>
                <c:pt idx="3" formatCode="#,##0">
                  <c:v>1667</c:v>
                </c:pt>
              </c:numCache>
            </c:numRef>
          </c:val>
          <c:smooth val="0"/>
          <c:extLst>
            <c:ext xmlns:c16="http://schemas.microsoft.com/office/drawing/2014/chart" uri="{C3380CC4-5D6E-409C-BE32-E72D297353CC}">
              <c16:uniqueId val="{0000000B-F565-4292-85C7-8286016501A5}"/>
            </c:ext>
          </c:extLst>
        </c:ser>
        <c:ser>
          <c:idx val="3"/>
          <c:order val="3"/>
          <c:tx>
            <c:strRef>
              <c:f>Sheet1!$E$1</c:f>
              <c:strCache>
                <c:ptCount val="1"/>
                <c:pt idx="0">
                  <c:v>脳梗塞</c:v>
                </c:pt>
              </c:strCache>
            </c:strRef>
          </c:tx>
          <c:spPr>
            <a:ln w="28575" cap="rnd">
              <a:solidFill>
                <a:schemeClr val="accent4"/>
              </a:solidFill>
              <a:round/>
            </a:ln>
            <a:effectLst/>
          </c:spPr>
          <c:marker>
            <c:symbol val="triangle"/>
            <c:size val="9"/>
            <c:spPr>
              <a:solidFill>
                <a:schemeClr val="accent4"/>
              </a:solidFill>
              <a:ln w="9525">
                <a:solidFill>
                  <a:schemeClr val="accent4"/>
                </a:solidFill>
              </a:ln>
              <a:effectLst/>
            </c:spPr>
          </c:marker>
          <c:dLbls>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Sheet1!$E$2:$E$5</c:f>
              <c:numCache>
                <c:formatCode>#,##0</c:formatCode>
                <c:ptCount val="4"/>
                <c:pt idx="0">
                  <c:v>5379</c:v>
                </c:pt>
                <c:pt idx="1">
                  <c:v>4811</c:v>
                </c:pt>
                <c:pt idx="2">
                  <c:v>5041</c:v>
                </c:pt>
                <c:pt idx="3">
                  <c:v>4483</c:v>
                </c:pt>
              </c:numCache>
            </c:numRef>
          </c:val>
          <c:smooth val="0"/>
          <c:extLst>
            <c:ext xmlns:c16="http://schemas.microsoft.com/office/drawing/2014/chart" uri="{C3380CC4-5D6E-409C-BE32-E72D297353CC}">
              <c16:uniqueId val="{0000000C-F565-4292-85C7-8286016501A5}"/>
            </c:ext>
          </c:extLst>
        </c:ser>
        <c:ser>
          <c:idx val="4"/>
          <c:order val="4"/>
          <c:tx>
            <c:strRef>
              <c:f>Sheet1!$F$1</c:f>
              <c:strCache>
                <c:ptCount val="1"/>
                <c:pt idx="0">
                  <c:v>慢性腎不全(透析あり）</c:v>
                </c:pt>
              </c:strCache>
            </c:strRef>
          </c:tx>
          <c:spPr>
            <a:ln w="28575" cap="rnd">
              <a:solidFill>
                <a:schemeClr val="accent5"/>
              </a:solidFill>
              <a:round/>
            </a:ln>
            <a:effectLst/>
          </c:spPr>
          <c:marker>
            <c:symbol val="circle"/>
            <c:size val="10"/>
            <c:spPr>
              <a:solidFill>
                <a:schemeClr val="accent5"/>
              </a:solidFill>
              <a:ln w="9525">
                <a:solidFill>
                  <a:schemeClr val="accent5"/>
                </a:solidFill>
              </a:ln>
              <a:effectLst/>
            </c:spPr>
          </c:marker>
          <c:dLbls>
            <c:dLbl>
              <c:idx val="0"/>
              <c:layout>
                <c:manualLayout>
                  <c:x val="1.2077294685990338E-3"/>
                  <c:y val="-3.98417857590320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565-4292-85C7-8286016501A5}"/>
                </c:ext>
              </c:extLst>
            </c:dLbl>
            <c:dLbl>
              <c:idx val="1"/>
              <c:layout>
                <c:manualLayout>
                  <c:x val="-4.830917874396135E-3"/>
                  <c:y val="-4.23318973689716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F565-4292-85C7-8286016501A5}"/>
                </c:ext>
              </c:extLst>
            </c:dLbl>
            <c:dLbl>
              <c:idx val="2"/>
              <c:layout>
                <c:manualLayout>
                  <c:x val="-3.62318840579719E-3"/>
                  <c:y val="-5.97626786385481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565-4292-85C7-8286016501A5}"/>
                </c:ext>
              </c:extLst>
            </c:dLbl>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Sheet1!$F$2:$F$5</c:f>
              <c:numCache>
                <c:formatCode>#,##0</c:formatCode>
                <c:ptCount val="4"/>
                <c:pt idx="0">
                  <c:v>17030</c:v>
                </c:pt>
                <c:pt idx="1">
                  <c:v>16768</c:v>
                </c:pt>
                <c:pt idx="2">
                  <c:v>16675</c:v>
                </c:pt>
                <c:pt idx="3">
                  <c:v>20013</c:v>
                </c:pt>
              </c:numCache>
            </c:numRef>
          </c:val>
          <c:smooth val="0"/>
          <c:extLst>
            <c:ext xmlns:c16="http://schemas.microsoft.com/office/drawing/2014/chart" uri="{C3380CC4-5D6E-409C-BE32-E72D297353CC}">
              <c16:uniqueId val="{00000010-F565-4292-85C7-8286016501A5}"/>
            </c:ext>
          </c:extLst>
        </c:ser>
        <c:ser>
          <c:idx val="5"/>
          <c:order val="5"/>
          <c:tx>
            <c:strRef>
              <c:f>Sheet1!$G$1</c:f>
              <c:strCache>
                <c:ptCount val="1"/>
                <c:pt idx="0">
                  <c:v>慢性腎不全(透析なし）</c:v>
                </c:pt>
              </c:strCache>
            </c:strRef>
          </c:tx>
          <c:spPr>
            <a:ln w="28575" cap="rnd">
              <a:solidFill>
                <a:srgbClr val="00B050"/>
              </a:solidFill>
              <a:prstDash val="sysDash"/>
              <a:round/>
            </a:ln>
            <a:effectLst/>
          </c:spPr>
          <c:marker>
            <c:symbol val="circle"/>
            <c:size val="5"/>
            <c:spPr>
              <a:solidFill>
                <a:schemeClr val="accent6"/>
              </a:solidFill>
              <a:ln w="9525">
                <a:solidFill>
                  <a:schemeClr val="accent6"/>
                </a:solidFill>
              </a:ln>
              <a:effectLst/>
            </c:spPr>
          </c:marker>
          <c:dPt>
            <c:idx val="1"/>
            <c:marker>
              <c:symbol val="circle"/>
              <c:size val="5"/>
              <c:spPr>
                <a:solidFill>
                  <a:schemeClr val="accent6"/>
                </a:solidFill>
                <a:ln w="9525">
                  <a:solidFill>
                    <a:schemeClr val="accent6"/>
                  </a:solidFill>
                </a:ln>
                <a:effectLst/>
              </c:spPr>
            </c:marker>
            <c:bubble3D val="0"/>
            <c:spPr>
              <a:ln w="28575" cap="rnd">
                <a:solidFill>
                  <a:srgbClr val="00B050"/>
                </a:solidFill>
                <a:prstDash val="sysDash"/>
                <a:round/>
              </a:ln>
              <a:effectLst/>
            </c:spPr>
            <c:extLst>
              <c:ext xmlns:c16="http://schemas.microsoft.com/office/drawing/2014/chart" uri="{C3380CC4-5D6E-409C-BE32-E72D297353CC}">
                <c16:uniqueId val="{00000012-F565-4292-85C7-8286016501A5}"/>
              </c:ext>
            </c:extLst>
          </c:dPt>
          <c:dPt>
            <c:idx val="3"/>
            <c:marker>
              <c:symbol val="circle"/>
              <c:size val="10"/>
              <c:spPr>
                <a:solidFill>
                  <a:schemeClr val="accent6"/>
                </a:solidFill>
                <a:ln w="9525">
                  <a:solidFill>
                    <a:schemeClr val="accent6"/>
                  </a:solidFill>
                </a:ln>
                <a:effectLst/>
              </c:spPr>
            </c:marker>
            <c:bubble3D val="0"/>
            <c:extLst>
              <c:ext xmlns:c16="http://schemas.microsoft.com/office/drawing/2014/chart" uri="{C3380CC4-5D6E-409C-BE32-E72D297353CC}">
                <c16:uniqueId val="{00000013-F565-4292-85C7-8286016501A5}"/>
              </c:ext>
            </c:extLst>
          </c:dPt>
          <c:dLbls>
            <c:dLbl>
              <c:idx val="0"/>
              <c:layout>
                <c:manualLayout>
                  <c:x val="1.2077294685990338E-3"/>
                  <c:y val="-4.23318973689717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565-4292-85C7-8286016501A5}"/>
                </c:ext>
              </c:extLst>
            </c:dLbl>
            <c:dLbl>
              <c:idx val="1"/>
              <c:layout>
                <c:manualLayout>
                  <c:x val="-3.6230933089885504E-3"/>
                  <c:y val="-3.4861660575043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565-4292-85C7-8286016501A5}"/>
                </c:ext>
              </c:extLst>
            </c:dLbl>
            <c:dLbl>
              <c:idx val="2"/>
              <c:layout>
                <c:manualLayout>
                  <c:x val="1.4492753623188406E-2"/>
                  <c:y val="3.4861562539153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565-4292-85C7-8286016501A5}"/>
                </c:ext>
              </c:extLst>
            </c:dLbl>
            <c:dLbl>
              <c:idx val="3"/>
              <c:layout>
                <c:manualLayout>
                  <c:x val="8.4541062801932361E-3"/>
                  <c:y val="3.48615625391530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F565-4292-85C7-8286016501A5}"/>
                </c:ext>
              </c:extLst>
            </c:dLbl>
            <c:spPr>
              <a:noFill/>
              <a:ln>
                <a:noFill/>
              </a:ln>
              <a:effectLst/>
            </c:spPr>
            <c:txPr>
              <a:bodyPr rot="0" spcFirstLastPara="1" vertOverflow="ellipsis" vert="horz" wrap="square" anchor="ctr" anchorCtr="1"/>
              <a:lstStyle/>
              <a:p>
                <a:pPr>
                  <a:defRPr sz="1050" b="0" i="0" u="none" strike="noStrike" kern="1200" baseline="0">
                    <a:ln>
                      <a:noFill/>
                    </a:ln>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H28</c:v>
                </c:pt>
                <c:pt idx="1">
                  <c:v>H29</c:v>
                </c:pt>
                <c:pt idx="2">
                  <c:v>H30</c:v>
                </c:pt>
                <c:pt idx="3">
                  <c:v>R元</c:v>
                </c:pt>
              </c:strCache>
            </c:strRef>
          </c:cat>
          <c:val>
            <c:numRef>
              <c:f>Sheet1!$G$2:$G$5</c:f>
              <c:numCache>
                <c:formatCode>General</c:formatCode>
                <c:ptCount val="4"/>
                <c:pt idx="0" formatCode="#,##0">
                  <c:v>1215</c:v>
                </c:pt>
                <c:pt idx="1">
                  <c:v>933</c:v>
                </c:pt>
                <c:pt idx="2" formatCode="#,##0">
                  <c:v>1081</c:v>
                </c:pt>
                <c:pt idx="3">
                  <c:v>807</c:v>
                </c:pt>
              </c:numCache>
            </c:numRef>
          </c:val>
          <c:smooth val="0"/>
          <c:extLst>
            <c:ext xmlns:c16="http://schemas.microsoft.com/office/drawing/2014/chart" uri="{C3380CC4-5D6E-409C-BE32-E72D297353CC}">
              <c16:uniqueId val="{00000016-F565-4292-85C7-8286016501A5}"/>
            </c:ext>
          </c:extLst>
        </c:ser>
        <c:dLbls>
          <c:showLegendKey val="0"/>
          <c:showVal val="0"/>
          <c:showCatName val="0"/>
          <c:showSerName val="0"/>
          <c:showPercent val="0"/>
          <c:showBubbleSize val="0"/>
        </c:dLbls>
        <c:marker val="1"/>
        <c:smooth val="0"/>
        <c:axId val="600996864"/>
        <c:axId val="600997520"/>
      </c:lineChart>
      <c:catAx>
        <c:axId val="600996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0997520"/>
        <c:crosses val="autoZero"/>
        <c:auto val="1"/>
        <c:lblAlgn val="ctr"/>
        <c:lblOffset val="100"/>
        <c:noMultiLvlLbl val="0"/>
      </c:catAx>
      <c:valAx>
        <c:axId val="600997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r>
                  <a:rPr lang="ja-JP" altLang="en-US" sz="1100"/>
                  <a:t>円</a:t>
                </a:r>
              </a:p>
            </c:rich>
          </c:tx>
          <c:layout>
            <c:manualLayout>
              <c:xMode val="edge"/>
              <c:yMode val="edge"/>
              <c:x val="8.7888531618435156E-2"/>
              <c:y val="5.9351141816686284E-2"/>
            </c:manualLayout>
          </c:layout>
          <c:overlay val="0"/>
          <c:spPr>
            <a:noFill/>
            <a:ln>
              <a:noFill/>
            </a:ln>
            <a:effectLst/>
          </c:spPr>
          <c:txPr>
            <a:bodyPr rot="0" spcFirstLastPara="1" vertOverflow="ellipsis" wrap="square" anchor="ctr" anchorCtr="1"/>
            <a:lstStyle/>
            <a:p>
              <a:pPr>
                <a:defRPr sz="1100" b="0" i="0" u="none" strike="noStrike" kern="1200" baseline="0">
                  <a:ln>
                    <a:noFill/>
                  </a:ln>
                  <a:solidFill>
                    <a:schemeClr val="tx1">
                      <a:lumMod val="65000"/>
                      <a:lumOff val="35000"/>
                    </a:schemeClr>
                  </a:solidFill>
                  <a:latin typeface="+mn-lt"/>
                  <a:ea typeface="+mn-ea"/>
                  <a:cs typeface="+mn-cs"/>
                </a:defRPr>
              </a:pPr>
              <a:endParaRPr lang="ja-JP"/>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ln>
                  <a:noFill/>
                </a:ln>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600996864"/>
        <c:crosses val="autoZero"/>
        <c:crossBetween val="between"/>
      </c:valAx>
      <c:spPr>
        <a:noFill/>
        <a:ln>
          <a:noFill/>
        </a:ln>
        <a:effectLst/>
      </c:spPr>
    </c:plotArea>
    <c:legend>
      <c:legendPos val="b"/>
      <c:layout>
        <c:manualLayout>
          <c:xMode val="edge"/>
          <c:yMode val="edge"/>
          <c:x val="4.1638836974172005E-2"/>
          <c:y val="0.86617212265424326"/>
          <c:w val="0.94539098902229979"/>
          <c:h val="8.7753825853735506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ln>
            <a:noFill/>
          </a:ln>
        </a:defRPr>
      </a:pPr>
      <a:endParaRPr lang="ja-JP"/>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Ｐゴシック" panose="020B0600070205080204" pitchFamily="50" charset="-128"/>
                <a:ea typeface="ＭＳ Ｐゴシック" panose="020B0600070205080204" pitchFamily="50" charset="-128"/>
                <a:cs typeface="+mn-cs"/>
              </a:defRPr>
            </a:pPr>
            <a:r>
              <a:rPr lang="en-US" altLang="ja-JP" b="0">
                <a:solidFill>
                  <a:schemeClr val="tx1"/>
                </a:solidFill>
                <a:latin typeface="ＭＳ Ｐゴシック" panose="020B0600070205080204" pitchFamily="50" charset="-128"/>
                <a:ea typeface="ＭＳ Ｐゴシック" panose="020B0600070205080204" pitchFamily="50" charset="-128"/>
              </a:rPr>
              <a:t>【</a:t>
            </a:r>
            <a:r>
              <a:rPr lang="ja-JP" altLang="en-US" sz="1200" b="0">
                <a:solidFill>
                  <a:schemeClr val="tx1"/>
                </a:solidFill>
                <a:latin typeface="ＭＳ Ｐゴシック" panose="020B0600070205080204" pitchFamily="50" charset="-128"/>
                <a:ea typeface="ＭＳ Ｐゴシック" panose="020B0600070205080204" pitchFamily="50" charset="-128"/>
              </a:rPr>
              <a:t>図１０</a:t>
            </a:r>
            <a:r>
              <a:rPr lang="en-US" altLang="ja-JP" sz="1200" b="0">
                <a:solidFill>
                  <a:schemeClr val="tx1"/>
                </a:solidFill>
                <a:latin typeface="ＭＳ Ｐゴシック" panose="020B0600070205080204" pitchFamily="50" charset="-128"/>
                <a:ea typeface="ＭＳ Ｐゴシック" panose="020B0600070205080204" pitchFamily="50" charset="-128"/>
              </a:rPr>
              <a:t>】</a:t>
            </a:r>
            <a:r>
              <a:rPr lang="ja-JP" altLang="en-US" sz="1200" b="0">
                <a:solidFill>
                  <a:schemeClr val="tx1"/>
                </a:solidFill>
                <a:latin typeface="ＭＳ Ｐゴシック" panose="020B0600070205080204" pitchFamily="50" charset="-128"/>
                <a:ea typeface="ＭＳ Ｐゴシック" panose="020B0600070205080204" pitchFamily="50" charset="-128"/>
              </a:rPr>
              <a:t>人工透析患者のうち糖尿病を</a:t>
            </a:r>
            <a:endParaRPr lang="en-US" altLang="ja-JP" sz="1200" b="0">
              <a:solidFill>
                <a:schemeClr val="tx1"/>
              </a:solidFill>
              <a:latin typeface="ＭＳ Ｐゴシック" panose="020B0600070205080204" pitchFamily="50" charset="-128"/>
              <a:ea typeface="ＭＳ Ｐゴシック" panose="020B0600070205080204" pitchFamily="50" charset="-128"/>
            </a:endParaRPr>
          </a:p>
          <a:p>
            <a:pPr>
              <a:defRPr>
                <a:solidFill>
                  <a:schemeClr val="tx1"/>
                </a:solidFill>
                <a:latin typeface="ＭＳ Ｐゴシック" panose="020B0600070205080204" pitchFamily="50" charset="-128"/>
                <a:ea typeface="ＭＳ Ｐゴシック" panose="020B0600070205080204" pitchFamily="50" charset="-128"/>
              </a:defRPr>
            </a:pPr>
            <a:r>
              <a:rPr lang="ja-JP" altLang="en-US" sz="1200" b="0">
                <a:solidFill>
                  <a:schemeClr val="tx1"/>
                </a:solidFill>
                <a:latin typeface="ＭＳ Ｐゴシック" panose="020B0600070205080204" pitchFamily="50" charset="-128"/>
                <a:ea typeface="ＭＳ Ｐゴシック" panose="020B0600070205080204" pitchFamily="50" charset="-128"/>
              </a:rPr>
              <a:t>合併する患者数と医療費の推移</a:t>
            </a:r>
          </a:p>
        </c:rich>
      </c:tx>
      <c:layout>
        <c:manualLayout>
          <c:xMode val="edge"/>
          <c:yMode val="edge"/>
          <c:x val="0.28846153846153844"/>
          <c:y val="2.005012531328320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title>
    <c:autoTitleDeleted val="0"/>
    <c:plotArea>
      <c:layout>
        <c:manualLayout>
          <c:layoutTarget val="inner"/>
          <c:xMode val="edge"/>
          <c:yMode val="edge"/>
          <c:x val="6.1784957292709553E-2"/>
          <c:y val="0.16074280188660628"/>
          <c:w val="0.82146864229830696"/>
          <c:h val="0.61386168834158905"/>
        </c:manualLayout>
      </c:layout>
      <c:barChart>
        <c:barDir val="col"/>
        <c:grouping val="clustered"/>
        <c:varyColors val="0"/>
        <c:ser>
          <c:idx val="0"/>
          <c:order val="0"/>
          <c:tx>
            <c:strRef>
              <c:f>'Sheet2 (2)'!$AN$20</c:f>
              <c:strCache>
                <c:ptCount val="1"/>
                <c:pt idx="0">
                  <c:v>人工透析者のうち糖尿病を合併する者</c:v>
                </c:pt>
              </c:strCache>
            </c:strRef>
          </c:tx>
          <c:spPr>
            <a:pattFill prst="ltDnDiag">
              <a:fgClr>
                <a:schemeClr val="tx1"/>
              </a:fgClr>
              <a:bgClr>
                <a:schemeClr val="bg1"/>
              </a:bgClr>
            </a:pattFill>
            <a:ln>
              <a:solidFill>
                <a:sysClr val="windowText" lastClr="000000"/>
              </a:solidFill>
            </a:ln>
            <a:effectLst/>
          </c:spPr>
          <c:invertIfNegative val="0"/>
          <c:dLbls>
            <c:dLbl>
              <c:idx val="1"/>
              <c:layout>
                <c:manualLayout>
                  <c:x val="-2.1299254526091979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7B-4390-9EFC-387344C0EF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(2)'!$AO$19:$AR$19</c:f>
              <c:strCache>
                <c:ptCount val="4"/>
                <c:pt idx="0">
                  <c:v>H29.3</c:v>
                </c:pt>
                <c:pt idx="1">
                  <c:v>H30.3</c:v>
                </c:pt>
                <c:pt idx="2">
                  <c:v>H31.3</c:v>
                </c:pt>
                <c:pt idx="3">
                  <c:v>R2.3</c:v>
                </c:pt>
              </c:strCache>
            </c:strRef>
          </c:cat>
          <c:val>
            <c:numRef>
              <c:f>'Sheet2 (2)'!$AO$20:$AR$20</c:f>
              <c:numCache>
                <c:formatCode>#,##0_);[Red]\(#,##0\)</c:formatCode>
                <c:ptCount val="4"/>
                <c:pt idx="0" formatCode="General">
                  <c:v>38</c:v>
                </c:pt>
                <c:pt idx="1">
                  <c:v>41</c:v>
                </c:pt>
                <c:pt idx="2">
                  <c:v>41</c:v>
                </c:pt>
                <c:pt idx="3">
                  <c:v>49</c:v>
                </c:pt>
              </c:numCache>
            </c:numRef>
          </c:val>
          <c:extLst>
            <c:ext xmlns:c16="http://schemas.microsoft.com/office/drawing/2014/chart" uri="{C3380CC4-5D6E-409C-BE32-E72D297353CC}">
              <c16:uniqueId val="{00000001-A17B-4390-9EFC-387344C0EF1D}"/>
            </c:ext>
          </c:extLst>
        </c:ser>
        <c:ser>
          <c:idx val="1"/>
          <c:order val="1"/>
          <c:tx>
            <c:strRef>
              <c:f>'Sheet2 (2)'!$AN$21</c:f>
              <c:strCache>
                <c:ptCount val="1"/>
                <c:pt idx="0">
                  <c:v>人工透析者のうち糖尿病を合併しない者</c:v>
                </c:pt>
              </c:strCache>
            </c:strRef>
          </c:tx>
          <c:spPr>
            <a:pattFill prst="pct20">
              <a:fgClr>
                <a:schemeClr val="tx1"/>
              </a:fgClr>
              <a:bgClr>
                <a:schemeClr val="bg1"/>
              </a:bgClr>
            </a:patt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(2)'!$AO$19:$AR$19</c:f>
              <c:strCache>
                <c:ptCount val="4"/>
                <c:pt idx="0">
                  <c:v>H29.3</c:v>
                </c:pt>
                <c:pt idx="1">
                  <c:v>H30.3</c:v>
                </c:pt>
                <c:pt idx="2">
                  <c:v>H31.3</c:v>
                </c:pt>
                <c:pt idx="3">
                  <c:v>R2.3</c:v>
                </c:pt>
              </c:strCache>
            </c:strRef>
          </c:cat>
          <c:val>
            <c:numRef>
              <c:f>'Sheet2 (2)'!$AO$21:$AR$21</c:f>
              <c:numCache>
                <c:formatCode>#,##0_);[Red]\(#,##0\)</c:formatCode>
                <c:ptCount val="4"/>
                <c:pt idx="0" formatCode="General">
                  <c:v>25</c:v>
                </c:pt>
                <c:pt idx="1">
                  <c:v>25</c:v>
                </c:pt>
                <c:pt idx="2">
                  <c:v>27</c:v>
                </c:pt>
                <c:pt idx="3">
                  <c:v>29</c:v>
                </c:pt>
              </c:numCache>
            </c:numRef>
          </c:val>
          <c:extLst>
            <c:ext xmlns:c16="http://schemas.microsoft.com/office/drawing/2014/chart" uri="{C3380CC4-5D6E-409C-BE32-E72D297353CC}">
              <c16:uniqueId val="{00000002-A17B-4390-9EFC-387344C0EF1D}"/>
            </c:ext>
          </c:extLst>
        </c:ser>
        <c:dLbls>
          <c:showLegendKey val="0"/>
          <c:showVal val="1"/>
          <c:showCatName val="0"/>
          <c:showSerName val="0"/>
          <c:showPercent val="0"/>
          <c:showBubbleSize val="0"/>
        </c:dLbls>
        <c:gapWidth val="219"/>
        <c:axId val="603076544"/>
        <c:axId val="603082776"/>
      </c:barChart>
      <c:lineChart>
        <c:grouping val="standard"/>
        <c:varyColors val="0"/>
        <c:ser>
          <c:idx val="2"/>
          <c:order val="2"/>
          <c:tx>
            <c:strRef>
              <c:f>'Sheet2 (2)'!$AN$22</c:f>
              <c:strCache>
                <c:ptCount val="1"/>
                <c:pt idx="0">
                  <c:v>月当たり人工透析者の医療費の総額</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2.9818956336528202E-2"/>
                  <c:y val="-5.03823590335315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7B-4390-9EFC-387344C0EF1D}"/>
                </c:ext>
              </c:extLst>
            </c:dLbl>
            <c:dLbl>
              <c:idx val="1"/>
              <c:layout>
                <c:manualLayout>
                  <c:x val="-1.9169329073482427E-2"/>
                  <c:y val="-6.117857882643113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17B-4390-9EFC-387344C0EF1D}"/>
                </c:ext>
              </c:extLst>
            </c:dLbl>
            <c:dLbl>
              <c:idx val="2"/>
              <c:layout>
                <c:manualLayout>
                  <c:x val="-4.0468583599574094E-2"/>
                  <c:y val="-3.59873993096653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7B-4390-9EFC-387344C0EF1D}"/>
                </c:ext>
              </c:extLst>
            </c:dLbl>
            <c:dLbl>
              <c:idx val="3"/>
              <c:layout>
                <c:manualLayout>
                  <c:x val="-7.0287539936102233E-2"/>
                  <c:y val="-5.0575496796895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17B-4390-9EFC-387344C0EF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(2)'!$AO$19:$AR$19</c:f>
              <c:strCache>
                <c:ptCount val="4"/>
                <c:pt idx="0">
                  <c:v>H29.3</c:v>
                </c:pt>
                <c:pt idx="1">
                  <c:v>H30.3</c:v>
                </c:pt>
                <c:pt idx="2">
                  <c:v>H31.3</c:v>
                </c:pt>
                <c:pt idx="3">
                  <c:v>R2.3</c:v>
                </c:pt>
              </c:strCache>
            </c:strRef>
          </c:cat>
          <c:val>
            <c:numRef>
              <c:f>'Sheet2 (2)'!$AO$22:$AR$22</c:f>
              <c:numCache>
                <c:formatCode>#,##0_);[Red]\(#,##0\)</c:formatCode>
                <c:ptCount val="4"/>
                <c:pt idx="0">
                  <c:v>31283580</c:v>
                </c:pt>
                <c:pt idx="1">
                  <c:v>30347060</c:v>
                </c:pt>
                <c:pt idx="2">
                  <c:v>32472700</c:v>
                </c:pt>
                <c:pt idx="3">
                  <c:v>37039360</c:v>
                </c:pt>
              </c:numCache>
            </c:numRef>
          </c:val>
          <c:smooth val="0"/>
          <c:extLst>
            <c:ext xmlns:c16="http://schemas.microsoft.com/office/drawing/2014/chart" uri="{C3380CC4-5D6E-409C-BE32-E72D297353CC}">
              <c16:uniqueId val="{00000007-A17B-4390-9EFC-387344C0EF1D}"/>
            </c:ext>
          </c:extLst>
        </c:ser>
        <c:dLbls>
          <c:showLegendKey val="0"/>
          <c:showVal val="1"/>
          <c:showCatName val="0"/>
          <c:showSerName val="0"/>
          <c:showPercent val="0"/>
          <c:showBubbleSize val="0"/>
        </c:dLbls>
        <c:marker val="1"/>
        <c:smooth val="0"/>
        <c:axId val="603027344"/>
        <c:axId val="603024720"/>
      </c:lineChart>
      <c:catAx>
        <c:axId val="603076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603082776"/>
        <c:crosses val="autoZero"/>
        <c:auto val="1"/>
        <c:lblAlgn val="ctr"/>
        <c:lblOffset val="100"/>
        <c:noMultiLvlLbl val="0"/>
      </c:catAx>
      <c:valAx>
        <c:axId val="603082776"/>
        <c:scaling>
          <c:orientation val="minMax"/>
          <c:max val="6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人</a:t>
                </a:r>
              </a:p>
            </c:rich>
          </c:tx>
          <c:layout>
            <c:manualLayout>
              <c:xMode val="edge"/>
              <c:yMode val="edge"/>
              <c:x val="5.1118210862619806E-2"/>
              <c:y val="8.3830573809852704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3076544"/>
        <c:crosses val="autoZero"/>
        <c:crossBetween val="between"/>
      </c:valAx>
      <c:valAx>
        <c:axId val="603024720"/>
        <c:scaling>
          <c:orientation val="minMax"/>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円</a:t>
                </a:r>
              </a:p>
            </c:rich>
          </c:tx>
          <c:layout>
            <c:manualLayout>
              <c:xMode val="edge"/>
              <c:yMode val="edge"/>
              <c:x val="0.96436634717784864"/>
              <c:y val="7.001282734395042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603027344"/>
        <c:crosses val="max"/>
        <c:crossBetween val="between"/>
      </c:valAx>
      <c:catAx>
        <c:axId val="603027344"/>
        <c:scaling>
          <c:orientation val="minMax"/>
        </c:scaling>
        <c:delete val="1"/>
        <c:axPos val="b"/>
        <c:numFmt formatCode="General" sourceLinked="1"/>
        <c:majorTickMark val="out"/>
        <c:minorTickMark val="none"/>
        <c:tickLblPos val="nextTo"/>
        <c:crossAx val="60302472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r>
              <a:rPr lang="en-US" altLang="ja-JP">
                <a:solidFill>
                  <a:schemeClr val="tx1"/>
                </a:solidFill>
                <a:latin typeface="ＭＳ ゴシック" panose="020B0609070205080204" pitchFamily="49" charset="-128"/>
                <a:ea typeface="ＭＳ ゴシック" panose="020B0609070205080204" pitchFamily="49" charset="-128"/>
              </a:rPr>
              <a:t>【</a:t>
            </a:r>
            <a:r>
              <a:rPr lang="ja-JP" altLang="en-US">
                <a:solidFill>
                  <a:schemeClr val="tx1"/>
                </a:solidFill>
                <a:latin typeface="ＭＳ ゴシック" panose="020B0609070205080204" pitchFamily="49" charset="-128"/>
                <a:ea typeface="ＭＳ ゴシック" panose="020B0609070205080204" pitchFamily="49" charset="-128"/>
              </a:rPr>
              <a:t>図１１</a:t>
            </a:r>
            <a:r>
              <a:rPr lang="en-US" altLang="ja-JP">
                <a:solidFill>
                  <a:schemeClr val="tx1"/>
                </a:solidFill>
                <a:latin typeface="ＭＳ ゴシック" panose="020B0609070205080204" pitchFamily="49" charset="-128"/>
                <a:ea typeface="ＭＳ ゴシック" panose="020B0609070205080204" pitchFamily="49" charset="-128"/>
              </a:rPr>
              <a:t>】</a:t>
            </a:r>
            <a:r>
              <a:rPr lang="ja-JP" altLang="en-US">
                <a:solidFill>
                  <a:schemeClr val="tx1"/>
                </a:solidFill>
                <a:latin typeface="ＭＳ ゴシック" panose="020B0609070205080204" pitchFamily="49" charset="-128"/>
                <a:ea typeface="ＭＳ ゴシック" panose="020B0609070205080204" pitchFamily="49" charset="-128"/>
              </a:rPr>
              <a:t>第１号被保険者の要介護認定率の推移</a:t>
            </a:r>
          </a:p>
        </c:rich>
      </c:tx>
      <c:layout>
        <c:manualLayout>
          <c:xMode val="edge"/>
          <c:yMode val="edge"/>
          <c:x val="0.20814812024095075"/>
          <c:y val="3.34490078295611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2303879104763517"/>
          <c:y val="0.17365121332711755"/>
          <c:w val="0.85972513798550854"/>
          <c:h val="0.55376019351743677"/>
        </c:manualLayout>
      </c:layout>
      <c:lineChart>
        <c:grouping val="standard"/>
        <c:varyColors val="0"/>
        <c:ser>
          <c:idx val="0"/>
          <c:order val="0"/>
          <c:tx>
            <c:strRef>
              <c:f>'Sheet2 (2)'!$AV$21</c:f>
              <c:strCache>
                <c:ptCount val="1"/>
                <c:pt idx="0">
                  <c:v>鶴ヶ島市</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(2)'!$AW$20:$AZ$20</c:f>
              <c:strCache>
                <c:ptCount val="4"/>
                <c:pt idx="0">
                  <c:v>H28</c:v>
                </c:pt>
                <c:pt idx="1">
                  <c:v>H29</c:v>
                </c:pt>
                <c:pt idx="2">
                  <c:v>H30</c:v>
                </c:pt>
                <c:pt idx="3">
                  <c:v>R元</c:v>
                </c:pt>
              </c:strCache>
            </c:strRef>
          </c:cat>
          <c:val>
            <c:numRef>
              <c:f>'Sheet2 (2)'!$AW$21:$AZ$21</c:f>
              <c:numCache>
                <c:formatCode>General</c:formatCode>
                <c:ptCount val="4"/>
                <c:pt idx="0">
                  <c:v>15.9</c:v>
                </c:pt>
                <c:pt idx="1">
                  <c:v>12.2</c:v>
                </c:pt>
                <c:pt idx="2">
                  <c:v>12.9</c:v>
                </c:pt>
                <c:pt idx="3">
                  <c:v>13.8</c:v>
                </c:pt>
              </c:numCache>
            </c:numRef>
          </c:val>
          <c:smooth val="0"/>
          <c:extLst>
            <c:ext xmlns:c16="http://schemas.microsoft.com/office/drawing/2014/chart" uri="{C3380CC4-5D6E-409C-BE32-E72D297353CC}">
              <c16:uniqueId val="{00000000-6CA1-4B54-ADF3-A5FB6120F7BE}"/>
            </c:ext>
          </c:extLst>
        </c:ser>
        <c:ser>
          <c:idx val="1"/>
          <c:order val="1"/>
          <c:tx>
            <c:strRef>
              <c:f>'Sheet2 (2)'!$AV$22</c:f>
              <c:strCache>
                <c:ptCount val="1"/>
                <c:pt idx="0">
                  <c:v>埼玉県</c:v>
                </c:pt>
              </c:strCache>
            </c:strRef>
          </c:tx>
          <c:spPr>
            <a:ln w="28575" cap="rnd">
              <a:solidFill>
                <a:schemeClr val="accent2"/>
              </a:solidFill>
              <a:miter lim="800000"/>
            </a:ln>
            <a:effectLst/>
          </c:spPr>
          <c:marker>
            <c:symbol val="x"/>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 (2)'!$AW$20:$AZ$20</c:f>
              <c:strCache>
                <c:ptCount val="4"/>
                <c:pt idx="0">
                  <c:v>H28</c:v>
                </c:pt>
                <c:pt idx="1">
                  <c:v>H29</c:v>
                </c:pt>
                <c:pt idx="2">
                  <c:v>H30</c:v>
                </c:pt>
                <c:pt idx="3">
                  <c:v>R元</c:v>
                </c:pt>
              </c:strCache>
            </c:strRef>
          </c:cat>
          <c:val>
            <c:numRef>
              <c:f>'Sheet2 (2)'!$AW$22:$AZ$22</c:f>
              <c:numCache>
                <c:formatCode>General</c:formatCode>
                <c:ptCount val="4"/>
                <c:pt idx="0">
                  <c:v>18.399999999999999</c:v>
                </c:pt>
                <c:pt idx="1">
                  <c:v>15.4</c:v>
                </c:pt>
                <c:pt idx="2" formatCode="0.0_ ">
                  <c:v>16</c:v>
                </c:pt>
                <c:pt idx="3">
                  <c:v>16.600000000000001</c:v>
                </c:pt>
              </c:numCache>
            </c:numRef>
          </c:val>
          <c:smooth val="0"/>
          <c:extLst>
            <c:ext xmlns:c16="http://schemas.microsoft.com/office/drawing/2014/chart" uri="{C3380CC4-5D6E-409C-BE32-E72D297353CC}">
              <c16:uniqueId val="{00000001-6CA1-4B54-ADF3-A5FB6120F7BE}"/>
            </c:ext>
          </c:extLst>
        </c:ser>
        <c:dLbls>
          <c:showLegendKey val="0"/>
          <c:showVal val="0"/>
          <c:showCatName val="0"/>
          <c:showSerName val="0"/>
          <c:showPercent val="0"/>
          <c:showBubbleSize val="0"/>
        </c:dLbls>
        <c:marker val="1"/>
        <c:smooth val="0"/>
        <c:axId val="526023360"/>
        <c:axId val="526025984"/>
      </c:lineChart>
      <c:catAx>
        <c:axId val="526023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26025984"/>
        <c:crosses val="autoZero"/>
        <c:auto val="1"/>
        <c:lblAlgn val="ctr"/>
        <c:lblOffset val="100"/>
        <c:noMultiLvlLbl val="0"/>
      </c:catAx>
      <c:valAx>
        <c:axId val="526025984"/>
        <c:scaling>
          <c:orientation val="minMax"/>
          <c:max val="30"/>
          <c:min val="1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ltLang="en-US"/>
                  <a:t>％</a:t>
                </a:r>
              </a:p>
            </c:rich>
          </c:tx>
          <c:layout>
            <c:manualLayout>
              <c:xMode val="edge"/>
              <c:yMode val="edge"/>
              <c:x val="9.1104946539097759E-2"/>
              <c:y val="6.5809534102765813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26023360"/>
        <c:crosses val="autoZero"/>
        <c:crossBetween val="between"/>
      </c:valAx>
      <c:spPr>
        <a:noFill/>
        <a:ln>
          <a:noFill/>
        </a:ln>
        <a:effectLst/>
      </c:spPr>
    </c:plotArea>
    <c:legend>
      <c:legendPos val="b"/>
      <c:layout>
        <c:manualLayout>
          <c:xMode val="edge"/>
          <c:yMode val="edge"/>
          <c:x val="0.35837312202003457"/>
          <c:y val="0.89079206930467492"/>
          <c:w val="0.28325358851674642"/>
          <c:h val="5.627920804183175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r>
              <a:rPr lang="en-US" altLang="ja-JP">
                <a:solidFill>
                  <a:schemeClr val="tx1"/>
                </a:solidFill>
                <a:latin typeface="ＭＳ ゴシック" panose="020B0609070205080204" pitchFamily="49" charset="-128"/>
                <a:ea typeface="ＭＳ ゴシック" panose="020B0609070205080204" pitchFamily="49" charset="-128"/>
              </a:rPr>
              <a:t>【</a:t>
            </a:r>
            <a:r>
              <a:rPr lang="ja-JP" altLang="en-US">
                <a:solidFill>
                  <a:schemeClr val="tx1"/>
                </a:solidFill>
                <a:latin typeface="ＭＳ ゴシック" panose="020B0609070205080204" pitchFamily="49" charset="-128"/>
                <a:ea typeface="ＭＳ ゴシック" panose="020B0609070205080204" pitchFamily="49" charset="-128"/>
              </a:rPr>
              <a:t>図１２</a:t>
            </a:r>
            <a:r>
              <a:rPr lang="en-US" altLang="ja-JP">
                <a:solidFill>
                  <a:schemeClr val="tx1"/>
                </a:solidFill>
                <a:latin typeface="ＭＳ ゴシック" panose="020B0609070205080204" pitchFamily="49" charset="-128"/>
                <a:ea typeface="ＭＳ ゴシック" panose="020B0609070205080204" pitchFamily="49" charset="-128"/>
              </a:rPr>
              <a:t>】</a:t>
            </a:r>
            <a:r>
              <a:rPr lang="ja-JP" altLang="en-US">
                <a:solidFill>
                  <a:schemeClr val="tx1"/>
                </a:solidFill>
                <a:latin typeface="ＭＳ ゴシック" panose="020B0609070205080204" pitchFamily="49" charset="-128"/>
                <a:ea typeface="ＭＳ ゴシック" panose="020B0609070205080204" pitchFamily="49" charset="-128"/>
              </a:rPr>
              <a:t>１件当たり介護保険給付費の推移</a:t>
            </a:r>
          </a:p>
        </c:rich>
      </c:tx>
      <c:layout>
        <c:manualLayout>
          <c:xMode val="edge"/>
          <c:yMode val="edge"/>
          <c:x val="0.21742779937785145"/>
          <c:y val="2.256372184441842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2113577819224822"/>
          <c:y val="7.7790789124057472E-2"/>
          <c:w val="0.86294922994711931"/>
          <c:h val="0.66681487241923654"/>
        </c:manualLayout>
      </c:layout>
      <c:barChart>
        <c:barDir val="col"/>
        <c:grouping val="clustered"/>
        <c:varyColors val="0"/>
        <c:ser>
          <c:idx val="0"/>
          <c:order val="0"/>
          <c:tx>
            <c:strRef>
              <c:f>'Sheet2 (2)'!$BE$20</c:f>
              <c:strCache>
                <c:ptCount val="1"/>
                <c:pt idx="0">
                  <c:v>H28</c:v>
                </c:pt>
              </c:strCache>
            </c:strRef>
          </c:tx>
          <c:spPr>
            <a:solidFill>
              <a:schemeClr val="tx1"/>
            </a:solidFill>
            <a:ln>
              <a:noFill/>
            </a:ln>
            <a:effectLst/>
          </c:spPr>
          <c:invertIfNegative val="0"/>
          <c:cat>
            <c:strRef>
              <c:f>'Sheet2 (2)'!$BD$21:$BD$27</c:f>
              <c:strCache>
                <c:ptCount val="7"/>
                <c:pt idx="0">
                  <c:v>要支援１</c:v>
                </c:pt>
                <c:pt idx="1">
                  <c:v>要支援２</c:v>
                </c:pt>
                <c:pt idx="2">
                  <c:v>要介護１</c:v>
                </c:pt>
                <c:pt idx="3">
                  <c:v>要介護２</c:v>
                </c:pt>
                <c:pt idx="4">
                  <c:v>要介護３</c:v>
                </c:pt>
                <c:pt idx="5">
                  <c:v>要支援４</c:v>
                </c:pt>
                <c:pt idx="6">
                  <c:v>要支援５</c:v>
                </c:pt>
              </c:strCache>
            </c:strRef>
          </c:cat>
          <c:val>
            <c:numRef>
              <c:f>'Sheet2 (2)'!$BE$21:$BE$27</c:f>
              <c:numCache>
                <c:formatCode>#,##0_);[Red]\(#,##0\)</c:formatCode>
                <c:ptCount val="7"/>
                <c:pt idx="0">
                  <c:v>12426</c:v>
                </c:pt>
                <c:pt idx="1">
                  <c:v>15611</c:v>
                </c:pt>
                <c:pt idx="2">
                  <c:v>42808</c:v>
                </c:pt>
                <c:pt idx="3">
                  <c:v>46303</c:v>
                </c:pt>
                <c:pt idx="4">
                  <c:v>72395</c:v>
                </c:pt>
                <c:pt idx="5">
                  <c:v>99856</c:v>
                </c:pt>
                <c:pt idx="6">
                  <c:v>100186</c:v>
                </c:pt>
              </c:numCache>
            </c:numRef>
          </c:val>
          <c:extLst>
            <c:ext xmlns:c16="http://schemas.microsoft.com/office/drawing/2014/chart" uri="{C3380CC4-5D6E-409C-BE32-E72D297353CC}">
              <c16:uniqueId val="{00000000-3D24-4C41-A71B-AFC881E17E21}"/>
            </c:ext>
          </c:extLst>
        </c:ser>
        <c:ser>
          <c:idx val="1"/>
          <c:order val="1"/>
          <c:tx>
            <c:strRef>
              <c:f>'Sheet2 (2)'!$BF$20</c:f>
              <c:strCache>
                <c:ptCount val="1"/>
                <c:pt idx="0">
                  <c:v>H29</c:v>
                </c:pt>
              </c:strCache>
            </c:strRef>
          </c:tx>
          <c:spPr>
            <a:pattFill prst="wdDnDiag">
              <a:fgClr>
                <a:schemeClr val="tx1"/>
              </a:fgClr>
              <a:bgClr>
                <a:schemeClr val="bg1"/>
              </a:bgClr>
            </a:pattFill>
            <a:ln>
              <a:solidFill>
                <a:schemeClr val="tx1"/>
              </a:solidFill>
            </a:ln>
            <a:effectLst/>
          </c:spPr>
          <c:invertIfNegative val="0"/>
          <c:cat>
            <c:strRef>
              <c:f>'Sheet2 (2)'!$BD$21:$BD$27</c:f>
              <c:strCache>
                <c:ptCount val="7"/>
                <c:pt idx="0">
                  <c:v>要支援１</c:v>
                </c:pt>
                <c:pt idx="1">
                  <c:v>要支援２</c:v>
                </c:pt>
                <c:pt idx="2">
                  <c:v>要介護１</c:v>
                </c:pt>
                <c:pt idx="3">
                  <c:v>要介護２</c:v>
                </c:pt>
                <c:pt idx="4">
                  <c:v>要介護３</c:v>
                </c:pt>
                <c:pt idx="5">
                  <c:v>要支援４</c:v>
                </c:pt>
                <c:pt idx="6">
                  <c:v>要支援５</c:v>
                </c:pt>
              </c:strCache>
            </c:strRef>
          </c:cat>
          <c:val>
            <c:numRef>
              <c:f>'Sheet2 (2)'!$BF$21:$BF$27</c:f>
              <c:numCache>
                <c:formatCode>#,##0_);[Red]\(#,##0\)</c:formatCode>
                <c:ptCount val="7"/>
                <c:pt idx="0">
                  <c:v>12292</c:v>
                </c:pt>
                <c:pt idx="1">
                  <c:v>15152</c:v>
                </c:pt>
                <c:pt idx="2">
                  <c:v>42958</c:v>
                </c:pt>
                <c:pt idx="3">
                  <c:v>46438</c:v>
                </c:pt>
                <c:pt idx="4">
                  <c:v>73871</c:v>
                </c:pt>
                <c:pt idx="5">
                  <c:v>101088</c:v>
                </c:pt>
                <c:pt idx="6">
                  <c:v>103306</c:v>
                </c:pt>
              </c:numCache>
            </c:numRef>
          </c:val>
          <c:extLst>
            <c:ext xmlns:c16="http://schemas.microsoft.com/office/drawing/2014/chart" uri="{C3380CC4-5D6E-409C-BE32-E72D297353CC}">
              <c16:uniqueId val="{00000001-3D24-4C41-A71B-AFC881E17E21}"/>
            </c:ext>
          </c:extLst>
        </c:ser>
        <c:ser>
          <c:idx val="2"/>
          <c:order val="2"/>
          <c:tx>
            <c:strRef>
              <c:f>'Sheet2 (2)'!$BG$20</c:f>
              <c:strCache>
                <c:ptCount val="1"/>
                <c:pt idx="0">
                  <c:v>H30</c:v>
                </c:pt>
              </c:strCache>
            </c:strRef>
          </c:tx>
          <c:spPr>
            <a:pattFill prst="pct20">
              <a:fgClr>
                <a:schemeClr val="tx1"/>
              </a:fgClr>
              <a:bgClr>
                <a:schemeClr val="bg1"/>
              </a:bgClr>
            </a:pattFill>
            <a:ln>
              <a:solidFill>
                <a:schemeClr val="tx1"/>
              </a:solidFill>
            </a:ln>
            <a:effectLst/>
          </c:spPr>
          <c:invertIfNegative val="0"/>
          <c:cat>
            <c:strRef>
              <c:f>'Sheet2 (2)'!$BD$21:$BD$27</c:f>
              <c:strCache>
                <c:ptCount val="7"/>
                <c:pt idx="0">
                  <c:v>要支援１</c:v>
                </c:pt>
                <c:pt idx="1">
                  <c:v>要支援２</c:v>
                </c:pt>
                <c:pt idx="2">
                  <c:v>要介護１</c:v>
                </c:pt>
                <c:pt idx="3">
                  <c:v>要介護２</c:v>
                </c:pt>
                <c:pt idx="4">
                  <c:v>要介護３</c:v>
                </c:pt>
                <c:pt idx="5">
                  <c:v>要支援４</c:v>
                </c:pt>
                <c:pt idx="6">
                  <c:v>要支援５</c:v>
                </c:pt>
              </c:strCache>
            </c:strRef>
          </c:cat>
          <c:val>
            <c:numRef>
              <c:f>'Sheet2 (2)'!$BG$21:$BG$27</c:f>
              <c:numCache>
                <c:formatCode>#,##0_);[Red]\(#,##0\)</c:formatCode>
                <c:ptCount val="7"/>
                <c:pt idx="0">
                  <c:v>12710</c:v>
                </c:pt>
                <c:pt idx="1">
                  <c:v>14964</c:v>
                </c:pt>
                <c:pt idx="2">
                  <c:v>41036</c:v>
                </c:pt>
                <c:pt idx="3">
                  <c:v>44387</c:v>
                </c:pt>
                <c:pt idx="4">
                  <c:v>80080</c:v>
                </c:pt>
                <c:pt idx="5">
                  <c:v>105184</c:v>
                </c:pt>
                <c:pt idx="6">
                  <c:v>102188</c:v>
                </c:pt>
              </c:numCache>
            </c:numRef>
          </c:val>
          <c:extLst>
            <c:ext xmlns:c16="http://schemas.microsoft.com/office/drawing/2014/chart" uri="{C3380CC4-5D6E-409C-BE32-E72D297353CC}">
              <c16:uniqueId val="{00000002-3D24-4C41-A71B-AFC881E17E21}"/>
            </c:ext>
          </c:extLst>
        </c:ser>
        <c:ser>
          <c:idx val="3"/>
          <c:order val="3"/>
          <c:tx>
            <c:strRef>
              <c:f>'Sheet2 (2)'!$BH$20</c:f>
              <c:strCache>
                <c:ptCount val="1"/>
                <c:pt idx="0">
                  <c:v>R元</c:v>
                </c:pt>
              </c:strCache>
            </c:strRef>
          </c:tx>
          <c:spPr>
            <a:pattFill prst="wdUpDiag">
              <a:fgClr>
                <a:schemeClr val="tx1"/>
              </a:fgClr>
              <a:bgClr>
                <a:schemeClr val="bg1"/>
              </a:bgClr>
            </a:pattFill>
            <a:ln>
              <a:solidFill>
                <a:schemeClr val="tx1"/>
              </a:solidFill>
            </a:ln>
            <a:effectLst/>
          </c:spPr>
          <c:invertIfNegative val="0"/>
          <c:cat>
            <c:strRef>
              <c:f>'Sheet2 (2)'!$BD$21:$BD$27</c:f>
              <c:strCache>
                <c:ptCount val="7"/>
                <c:pt idx="0">
                  <c:v>要支援１</c:v>
                </c:pt>
                <c:pt idx="1">
                  <c:v>要支援２</c:v>
                </c:pt>
                <c:pt idx="2">
                  <c:v>要介護１</c:v>
                </c:pt>
                <c:pt idx="3">
                  <c:v>要介護２</c:v>
                </c:pt>
                <c:pt idx="4">
                  <c:v>要介護３</c:v>
                </c:pt>
                <c:pt idx="5">
                  <c:v>要支援４</c:v>
                </c:pt>
                <c:pt idx="6">
                  <c:v>要支援５</c:v>
                </c:pt>
              </c:strCache>
            </c:strRef>
          </c:cat>
          <c:val>
            <c:numRef>
              <c:f>'Sheet2 (2)'!$BH$21:$BH$27</c:f>
              <c:numCache>
                <c:formatCode>#,##0_);[Red]\(#,##0\)</c:formatCode>
                <c:ptCount val="7"/>
                <c:pt idx="0">
                  <c:v>12656</c:v>
                </c:pt>
                <c:pt idx="1">
                  <c:v>14417</c:v>
                </c:pt>
                <c:pt idx="2">
                  <c:v>39102</c:v>
                </c:pt>
                <c:pt idx="3">
                  <c:v>42434</c:v>
                </c:pt>
                <c:pt idx="4">
                  <c:v>79997</c:v>
                </c:pt>
                <c:pt idx="5">
                  <c:v>97947</c:v>
                </c:pt>
                <c:pt idx="6">
                  <c:v>103484</c:v>
                </c:pt>
              </c:numCache>
            </c:numRef>
          </c:val>
          <c:extLst>
            <c:ext xmlns:c16="http://schemas.microsoft.com/office/drawing/2014/chart" uri="{C3380CC4-5D6E-409C-BE32-E72D297353CC}">
              <c16:uniqueId val="{00000003-3D24-4C41-A71B-AFC881E17E21}"/>
            </c:ext>
          </c:extLst>
        </c:ser>
        <c:dLbls>
          <c:showLegendKey val="0"/>
          <c:showVal val="0"/>
          <c:showCatName val="0"/>
          <c:showSerName val="0"/>
          <c:showPercent val="0"/>
          <c:showBubbleSize val="0"/>
        </c:dLbls>
        <c:gapWidth val="219"/>
        <c:overlap val="-27"/>
        <c:axId val="505051128"/>
        <c:axId val="505056048"/>
      </c:barChart>
      <c:catAx>
        <c:axId val="505051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05056048"/>
        <c:crosses val="autoZero"/>
        <c:auto val="1"/>
        <c:lblAlgn val="ctr"/>
        <c:lblOffset val="100"/>
        <c:noMultiLvlLbl val="0"/>
      </c:catAx>
      <c:valAx>
        <c:axId val="505056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r>
                  <a:rPr lang="ja-JP" altLang="en-US">
                    <a:latin typeface="+mj-ea"/>
                    <a:ea typeface="+mj-ea"/>
                  </a:rPr>
                  <a:t>円</a:t>
                </a:r>
              </a:p>
            </c:rich>
          </c:tx>
          <c:layout>
            <c:manualLayout>
              <c:xMode val="edge"/>
              <c:yMode val="edge"/>
              <c:x val="9.601978600069043E-2"/>
              <c:y val="3.16752801158501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title>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505112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ea"/>
                <a:ea typeface="+mj-ea"/>
                <a:cs typeface="+mn-cs"/>
              </a:defRPr>
            </a:pPr>
            <a:endParaRPr lang="ja-JP"/>
          </a:p>
        </c:txPr>
      </c:dTable>
      <c:spPr>
        <a:noFill/>
        <a:ln>
          <a:noFill/>
        </a:ln>
        <a:effectLst/>
      </c:spPr>
    </c:plotArea>
    <c:legend>
      <c:legendPos val="b"/>
      <c:layout>
        <c:manualLayout>
          <c:xMode val="edge"/>
          <c:yMode val="edge"/>
          <c:x val="0.67746813486714674"/>
          <c:y val="0.10372080031193368"/>
          <c:w val="0.27518954060707013"/>
          <c:h val="6.31861086562542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a:latin typeface="ＭＳ ゴシック" panose="020B0609070205080204" pitchFamily="49" charset="-128"/>
                <a:ea typeface="ＭＳ ゴシック" panose="020B0609070205080204" pitchFamily="49" charset="-128"/>
              </a:defRPr>
            </a:pPr>
            <a:r>
              <a:rPr lang="en-US" altLang="ja-JP" sz="1400">
                <a:latin typeface="ＭＳ ゴシック" panose="020B0609070205080204" pitchFamily="49" charset="-128"/>
                <a:ea typeface="ＭＳ ゴシック" panose="020B0609070205080204" pitchFamily="49" charset="-128"/>
              </a:rPr>
              <a:t>【</a:t>
            </a:r>
            <a:r>
              <a:rPr lang="ja-JP" altLang="en-US" sz="1400">
                <a:latin typeface="ＭＳ ゴシック" panose="020B0609070205080204" pitchFamily="49" charset="-128"/>
                <a:ea typeface="ＭＳ ゴシック" panose="020B0609070205080204" pitchFamily="49" charset="-128"/>
              </a:rPr>
              <a:t>図２</a:t>
            </a:r>
            <a:r>
              <a:rPr lang="en-US" altLang="ja-JP" sz="1400">
                <a:latin typeface="ＭＳ ゴシック" panose="020B0609070205080204" pitchFamily="49" charset="-128"/>
                <a:ea typeface="ＭＳ ゴシック" panose="020B0609070205080204" pitchFamily="49" charset="-128"/>
              </a:rPr>
              <a:t>】</a:t>
            </a:r>
            <a:r>
              <a:rPr lang="ja-JP" altLang="en-US" sz="1400">
                <a:latin typeface="ＭＳ ゴシック" panose="020B0609070205080204" pitchFamily="49" charset="-128"/>
                <a:ea typeface="ＭＳ ゴシック" panose="020B0609070205080204" pitchFamily="49" charset="-128"/>
              </a:rPr>
              <a:t>死因別死亡割合（平成３０年）　</a:t>
            </a:r>
          </a:p>
        </c:rich>
      </c:tx>
      <c:overlay val="0"/>
    </c:title>
    <c:autoTitleDeleted val="0"/>
    <c:plotArea>
      <c:layout>
        <c:manualLayout>
          <c:layoutTarget val="inner"/>
          <c:xMode val="edge"/>
          <c:yMode val="edge"/>
          <c:x val="0.30075261579882112"/>
          <c:y val="0.1793896473000047"/>
          <c:w val="0.44862265189990574"/>
          <c:h val="0.68320738014257099"/>
        </c:manualLayout>
      </c:layout>
      <c:pieChart>
        <c:varyColors val="1"/>
        <c:ser>
          <c:idx val="0"/>
          <c:order val="0"/>
          <c:spPr>
            <a:solidFill>
              <a:srgbClr val="9999FF"/>
            </a:solidFill>
            <a:ln w="12700">
              <a:solidFill>
                <a:srgbClr val="000000"/>
              </a:solidFill>
              <a:prstDash val="solid"/>
            </a:ln>
          </c:spPr>
          <c:dPt>
            <c:idx val="1"/>
            <c:bubble3D val="0"/>
            <c:spPr>
              <a:solidFill>
                <a:srgbClr val="993366"/>
              </a:solidFill>
              <a:ln w="12700">
                <a:solidFill>
                  <a:srgbClr val="000000"/>
                </a:solidFill>
                <a:prstDash val="solid"/>
              </a:ln>
            </c:spPr>
            <c:extLst>
              <c:ext xmlns:c16="http://schemas.microsoft.com/office/drawing/2014/chart" uri="{C3380CC4-5D6E-409C-BE32-E72D297353CC}">
                <c16:uniqueId val="{00000001-E4B2-4EB0-83AF-2B3D2A70A3E7}"/>
              </c:ext>
            </c:extLst>
          </c:dPt>
          <c:dPt>
            <c:idx val="2"/>
            <c:bubble3D val="0"/>
            <c:spPr>
              <a:solidFill>
                <a:srgbClr val="FFFFCC"/>
              </a:solidFill>
              <a:ln w="12700">
                <a:solidFill>
                  <a:srgbClr val="000000"/>
                </a:solidFill>
                <a:prstDash val="solid"/>
              </a:ln>
            </c:spPr>
            <c:extLst>
              <c:ext xmlns:c16="http://schemas.microsoft.com/office/drawing/2014/chart" uri="{C3380CC4-5D6E-409C-BE32-E72D297353CC}">
                <c16:uniqueId val="{00000003-E4B2-4EB0-83AF-2B3D2A70A3E7}"/>
              </c:ext>
            </c:extLst>
          </c:dPt>
          <c:dPt>
            <c:idx val="3"/>
            <c:bubble3D val="0"/>
            <c:spPr>
              <a:solidFill>
                <a:srgbClr val="CCFFFF"/>
              </a:solidFill>
              <a:ln w="12700">
                <a:solidFill>
                  <a:srgbClr val="000000"/>
                </a:solidFill>
                <a:prstDash val="solid"/>
              </a:ln>
            </c:spPr>
            <c:extLst>
              <c:ext xmlns:c16="http://schemas.microsoft.com/office/drawing/2014/chart" uri="{C3380CC4-5D6E-409C-BE32-E72D297353CC}">
                <c16:uniqueId val="{00000005-E4B2-4EB0-83AF-2B3D2A70A3E7}"/>
              </c:ext>
            </c:extLst>
          </c:dPt>
          <c:dPt>
            <c:idx val="4"/>
            <c:bubble3D val="0"/>
            <c:spPr>
              <a:solidFill>
                <a:srgbClr val="660066"/>
              </a:solidFill>
              <a:ln w="12700">
                <a:solidFill>
                  <a:srgbClr val="000000"/>
                </a:solidFill>
                <a:prstDash val="solid"/>
              </a:ln>
            </c:spPr>
            <c:extLst>
              <c:ext xmlns:c16="http://schemas.microsoft.com/office/drawing/2014/chart" uri="{C3380CC4-5D6E-409C-BE32-E72D297353CC}">
                <c16:uniqueId val="{00000007-E4B2-4EB0-83AF-2B3D2A70A3E7}"/>
              </c:ext>
            </c:extLst>
          </c:dPt>
          <c:dPt>
            <c:idx val="5"/>
            <c:bubble3D val="0"/>
            <c:spPr>
              <a:solidFill>
                <a:srgbClr val="FF8080"/>
              </a:solidFill>
              <a:ln w="12700">
                <a:solidFill>
                  <a:srgbClr val="000000"/>
                </a:solidFill>
                <a:prstDash val="solid"/>
              </a:ln>
            </c:spPr>
            <c:extLst>
              <c:ext xmlns:c16="http://schemas.microsoft.com/office/drawing/2014/chart" uri="{C3380CC4-5D6E-409C-BE32-E72D297353CC}">
                <c16:uniqueId val="{00000009-E4B2-4EB0-83AF-2B3D2A70A3E7}"/>
              </c:ext>
            </c:extLst>
          </c:dPt>
          <c:dPt>
            <c:idx val="6"/>
            <c:bubble3D val="0"/>
            <c:spPr>
              <a:solidFill>
                <a:srgbClr val="0066CC"/>
              </a:solidFill>
              <a:ln w="12700">
                <a:solidFill>
                  <a:srgbClr val="000000"/>
                </a:solidFill>
                <a:prstDash val="solid"/>
              </a:ln>
            </c:spPr>
            <c:extLst>
              <c:ext xmlns:c16="http://schemas.microsoft.com/office/drawing/2014/chart" uri="{C3380CC4-5D6E-409C-BE32-E72D297353CC}">
                <c16:uniqueId val="{0000000B-E4B2-4EB0-83AF-2B3D2A70A3E7}"/>
              </c:ext>
            </c:extLst>
          </c:dPt>
          <c:dPt>
            <c:idx val="7"/>
            <c:bubble3D val="0"/>
            <c:spPr>
              <a:solidFill>
                <a:srgbClr val="CCCCFF"/>
              </a:solidFill>
              <a:ln w="12700">
                <a:solidFill>
                  <a:srgbClr val="000000"/>
                </a:solidFill>
                <a:prstDash val="solid"/>
              </a:ln>
            </c:spPr>
            <c:extLst>
              <c:ext xmlns:c16="http://schemas.microsoft.com/office/drawing/2014/chart" uri="{C3380CC4-5D6E-409C-BE32-E72D297353CC}">
                <c16:uniqueId val="{0000000D-E4B2-4EB0-83AF-2B3D2A70A3E7}"/>
              </c:ext>
            </c:extLst>
          </c:dPt>
          <c:dPt>
            <c:idx val="8"/>
            <c:bubble3D val="0"/>
            <c:spPr>
              <a:solidFill>
                <a:srgbClr val="000080"/>
              </a:solidFill>
              <a:ln w="12700">
                <a:solidFill>
                  <a:srgbClr val="000000"/>
                </a:solidFill>
                <a:prstDash val="solid"/>
              </a:ln>
            </c:spPr>
            <c:extLst>
              <c:ext xmlns:c16="http://schemas.microsoft.com/office/drawing/2014/chart" uri="{C3380CC4-5D6E-409C-BE32-E72D297353CC}">
                <c16:uniqueId val="{0000000F-E4B2-4EB0-83AF-2B3D2A70A3E7}"/>
              </c:ext>
            </c:extLst>
          </c:dPt>
          <c:dLbls>
            <c:dLbl>
              <c:idx val="0"/>
              <c:layout>
                <c:manualLayout>
                  <c:x val="3.6977219952770264E-2"/>
                  <c:y val="5.9763178457654713E-2"/>
                </c:manualLayout>
              </c:layout>
              <c:tx>
                <c:rich>
                  <a:bodyPr/>
                  <a:lstStyle/>
                  <a:p>
                    <a:pPr>
                      <a:defRPr sz="1100" b="0" i="0" u="none" strike="noStrike" baseline="0">
                        <a:solidFill>
                          <a:srgbClr val="000000"/>
                        </a:solidFill>
                        <a:latin typeface="+mj-ea"/>
                        <a:ea typeface="+mj-ea"/>
                        <a:cs typeface="ＭＳ Ｐゴシック"/>
                      </a:defRPr>
                    </a:pPr>
                    <a:fld id="{AC1641EC-3CCE-4578-8993-3C984D7864CE}" type="CATEGORYNAME">
                      <a:rPr lang="ja-JP" altLang="en-US" sz="1100">
                        <a:latin typeface="+mj-ea"/>
                        <a:ea typeface="+mj-ea"/>
                      </a:rPr>
                      <a:pPr>
                        <a:defRPr sz="1100" b="0" i="0" u="none" strike="noStrike" baseline="0">
                          <a:solidFill>
                            <a:srgbClr val="000000"/>
                          </a:solidFill>
                          <a:latin typeface="+mj-ea"/>
                          <a:ea typeface="+mj-ea"/>
                          <a:cs typeface="ＭＳ Ｐゴシック"/>
                        </a:defRPr>
                      </a:pPr>
                      <a:t>[分類名]</a:t>
                    </a:fld>
                    <a:r>
                      <a:rPr lang="ja-JP" altLang="en-US" sz="1100" baseline="0">
                        <a:latin typeface="+mj-ea"/>
                        <a:ea typeface="+mj-ea"/>
                      </a:rPr>
                      <a:t>
</a:t>
                    </a:r>
                    <a:fld id="{DA28866C-F174-49E1-A6E5-A0C5B9F9978A}" type="PERCENTAGE">
                      <a:rPr lang="en-US" altLang="ja-JP" sz="1100" baseline="0">
                        <a:latin typeface="+mj-ea"/>
                        <a:ea typeface="+mj-ea"/>
                      </a:rPr>
                      <a:pPr>
                        <a:defRPr sz="1100" b="0" i="0" u="none" strike="noStrike" baseline="0">
                          <a:solidFill>
                            <a:srgbClr val="000000"/>
                          </a:solidFill>
                          <a:latin typeface="+mj-ea"/>
                          <a:ea typeface="+mj-ea"/>
                          <a:cs typeface="ＭＳ Ｐゴシック"/>
                        </a:defRPr>
                      </a:pPr>
                      <a:t>[パーセンテージ]</a:t>
                    </a:fld>
                    <a:endParaRPr lang="ja-JP" altLang="en-US" sz="1100" baseline="0">
                      <a:latin typeface="+mj-ea"/>
                      <a:ea typeface="+mj-ea"/>
                    </a:endParaRPr>
                  </a:p>
                </c:rich>
              </c:tx>
              <c:spPr>
                <a:noFill/>
                <a:ln w="25400">
                  <a:noFill/>
                </a:ln>
              </c:spPr>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E4B2-4EB0-83AF-2B3D2A70A3E7}"/>
                </c:ext>
              </c:extLst>
            </c:dLbl>
            <c:dLbl>
              <c:idx val="1"/>
              <c:layout>
                <c:manualLayout>
                  <c:x val="6.5789407902959493E-2"/>
                  <c:y val="-9.04878684057622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4B2-4EB0-83AF-2B3D2A70A3E7}"/>
                </c:ext>
              </c:extLst>
            </c:dLbl>
            <c:dLbl>
              <c:idx val="2"/>
              <c:layout>
                <c:manualLayout>
                  <c:x val="2.2928818680273827E-2"/>
                  <c:y val="1.592274248161728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4B2-4EB0-83AF-2B3D2A70A3E7}"/>
                </c:ext>
              </c:extLst>
            </c:dLbl>
            <c:dLbl>
              <c:idx val="3"/>
              <c:layout>
                <c:manualLayout>
                  <c:x val="2.1110635627068355E-2"/>
                  <c:y val="3.01006265199346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4B2-4EB0-83AF-2B3D2A70A3E7}"/>
                </c:ext>
              </c:extLst>
            </c:dLbl>
            <c:dLbl>
              <c:idx val="4"/>
              <c:layout>
                <c:manualLayout>
                  <c:x val="-1.5090218985784358E-3"/>
                  <c:y val="1.707719741139227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E4B2-4EB0-83AF-2B3D2A70A3E7}"/>
                </c:ext>
              </c:extLst>
            </c:dLbl>
            <c:dLbl>
              <c:idx val="5"/>
              <c:layout>
                <c:manualLayout>
                  <c:x val="-1.3929780516565887E-2"/>
                  <c:y val="3.990289883249703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E4B2-4EB0-83AF-2B3D2A70A3E7}"/>
                </c:ext>
              </c:extLst>
            </c:dLbl>
            <c:dLbl>
              <c:idx val="6"/>
              <c:layout>
                <c:manualLayout>
                  <c:x val="-3.7219010315363052E-2"/>
                  <c:y val="-6.2854438277182567E-2"/>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0.20783645655877342"/>
                      <c:h val="0.19213114754098359"/>
                    </c:manualLayout>
                  </c15:layout>
                </c:ext>
                <c:ext xmlns:c16="http://schemas.microsoft.com/office/drawing/2014/chart" uri="{C3380CC4-5D6E-409C-BE32-E72D297353CC}">
                  <c16:uniqueId val="{0000000B-E4B2-4EB0-83AF-2B3D2A70A3E7}"/>
                </c:ext>
              </c:extLst>
            </c:dLbl>
            <c:dLbl>
              <c:idx val="7"/>
              <c:layout>
                <c:manualLayout>
                  <c:x val="-2.8595241608427586E-2"/>
                  <c:y val="-0.178820532679316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E4B2-4EB0-83AF-2B3D2A70A3E7}"/>
                </c:ext>
              </c:extLst>
            </c:dLbl>
            <c:dLbl>
              <c:idx val="8"/>
              <c:layout>
                <c:manualLayout>
                  <c:x val="-5.3666975838548882E-3"/>
                  <c:y val="4.966039550399736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E4B2-4EB0-83AF-2B3D2A70A3E7}"/>
                </c:ext>
              </c:extLst>
            </c:dLbl>
            <c:spPr>
              <a:noFill/>
              <a:ln w="25400">
                <a:noFill/>
              </a:ln>
            </c:spPr>
            <c:txPr>
              <a:bodyPr/>
              <a:lstStyle/>
              <a:p>
                <a:pPr>
                  <a:defRPr sz="1050" b="0" i="0" u="none" strike="noStrike" baseline="0">
                    <a:solidFill>
                      <a:srgbClr val="000000"/>
                    </a:solidFill>
                    <a:latin typeface="+mj-ea"/>
                    <a:ea typeface="+mj-ea"/>
                    <a:cs typeface="ＭＳ Ｐゴシック"/>
                  </a:defRPr>
                </a:pPr>
                <a:endParaRPr lang="ja-JP"/>
              </a:p>
            </c:txPr>
            <c:showLegendKey val="0"/>
            <c:showVal val="0"/>
            <c:showCatName val="1"/>
            <c:showSerName val="0"/>
            <c:showPercent val="1"/>
            <c:showBubbleSize val="0"/>
            <c:showLeaderLines val="1"/>
            <c:extLst>
              <c:ext xmlns:c15="http://schemas.microsoft.com/office/drawing/2012/chart" uri="{CE6537A1-D6FC-4f65-9D91-7224C49458BB}"/>
            </c:extLst>
          </c:dLbls>
          <c:cat>
            <c:strLit>
              <c:ptCount val="9"/>
              <c:pt idx="0">
                <c:v>悪性新生物</c:v>
              </c:pt>
              <c:pt idx="1">
                <c:v>心疾患（高血圧性を除く）</c:v>
              </c:pt>
              <c:pt idx="2">
                <c:v>老衰</c:v>
              </c:pt>
              <c:pt idx="3">
                <c:v>脳血管疾患</c:v>
              </c:pt>
              <c:pt idx="4">
                <c:v>肺炎</c:v>
              </c:pt>
              <c:pt idx="5">
                <c:v>不慮の事故</c:v>
              </c:pt>
              <c:pt idx="6">
                <c:v>アルツハイマー病</c:v>
              </c:pt>
              <c:pt idx="7">
                <c:v>血管性及び詳細不明の認知症</c:v>
              </c:pt>
              <c:pt idx="8">
                <c:v>その他</c:v>
              </c:pt>
            </c:strLit>
          </c:cat>
          <c:val>
            <c:numLit>
              <c:formatCode>General</c:formatCode>
              <c:ptCount val="9"/>
              <c:pt idx="0">
                <c:v>157</c:v>
              </c:pt>
              <c:pt idx="1">
                <c:v>107</c:v>
              </c:pt>
              <c:pt idx="2">
                <c:v>70</c:v>
              </c:pt>
              <c:pt idx="3">
                <c:v>46</c:v>
              </c:pt>
              <c:pt idx="4">
                <c:v>29</c:v>
              </c:pt>
              <c:pt idx="5">
                <c:v>17</c:v>
              </c:pt>
              <c:pt idx="6">
                <c:v>12</c:v>
              </c:pt>
              <c:pt idx="7">
                <c:v>11</c:v>
              </c:pt>
              <c:pt idx="8">
                <c:v>157</c:v>
              </c:pt>
            </c:numLit>
          </c:val>
          <c:extLst>
            <c:ext xmlns:c16="http://schemas.microsoft.com/office/drawing/2014/chart" uri="{C3380CC4-5D6E-409C-BE32-E72D297353CC}">
              <c16:uniqueId val="{00000011-E4B2-4EB0-83AF-2B3D2A70A3E7}"/>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noFill/>
    <a:ln w="3175">
      <a:solidFill>
        <a:schemeClr val="tx1"/>
      </a:solidFill>
      <a:prstDash val="solid"/>
    </a:ln>
  </c:spPr>
  <c:txPr>
    <a:bodyPr/>
    <a:lstStyle/>
    <a:p>
      <a:pPr>
        <a:defRPr sz="4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図３</a:t>
            </a: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１</a:t>
            </a: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主な死因別標準化死亡比 ２５－２９年 男性</a:t>
            </a:r>
          </a:p>
        </c:rich>
      </c:tx>
      <c:layout>
        <c:manualLayout>
          <c:xMode val="edge"/>
          <c:yMode val="edge"/>
          <c:x val="3.1101527441309541E-2"/>
          <c:y val="3.8082680869030605E-2"/>
        </c:manualLayout>
      </c:layout>
      <c:overlay val="0"/>
      <c:spPr>
        <a:noFill/>
        <a:ln>
          <a:noFill/>
        </a:ln>
        <a:effectLst/>
      </c:spPr>
      <c:txPr>
        <a:bodyPr rot="0" spcFirstLastPara="1" vertOverflow="ellipsis" vert="horz" wrap="square" anchor="ctr" anchorCtr="1"/>
        <a:lstStyle/>
        <a:p>
          <a:pPr algn="ctr">
            <a:defRPr sz="12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9880864815328406"/>
          <c:y val="0.15062589398547405"/>
          <c:w val="0.43873610527880946"/>
          <c:h val="0.81379029544383874"/>
        </c:manualLayout>
      </c:layout>
      <c:radarChart>
        <c:radarStyle val="marker"/>
        <c:varyColors val="0"/>
        <c:ser>
          <c:idx val="0"/>
          <c:order val="0"/>
          <c:tx>
            <c:strRef>
              <c:f>Sheet1!$A$6:$B$6</c:f>
              <c:strCache>
                <c:ptCount val="2"/>
                <c:pt idx="0">
                  <c:v>全国</c:v>
                </c:pt>
                <c:pt idx="1">
                  <c:v>男性</c:v>
                </c:pt>
              </c:strCache>
            </c:strRef>
          </c:tx>
          <c:spPr>
            <a:ln w="34925" cap="rnd">
              <a:solidFill>
                <a:srgbClr val="00B050"/>
              </a:solidFill>
              <a:prstDash val="sysDash"/>
              <a:round/>
            </a:ln>
            <a:effectLst/>
          </c:spPr>
          <c:marker>
            <c:symbol val="none"/>
          </c:marker>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Sheet1!$C$6:$T$6</c:f>
              <c:numCache>
                <c:formatCode>0.0_ </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9474-4409-809D-BE353007AF96}"/>
            </c:ext>
          </c:extLst>
        </c:ser>
        <c:ser>
          <c:idx val="2"/>
          <c:order val="2"/>
          <c:tx>
            <c:strRef>
              <c:f>Sheet1!$A$8:$B$8</c:f>
              <c:strCache>
                <c:ptCount val="2"/>
                <c:pt idx="0">
                  <c:v>11埼玉県　　　　　　　 </c:v>
                </c:pt>
                <c:pt idx="1">
                  <c:v>男性</c:v>
                </c:pt>
              </c:strCache>
            </c:strRef>
          </c:tx>
          <c:spPr>
            <a:ln w="25400" cap="rnd">
              <a:solidFill>
                <a:srgbClr val="FF0000"/>
              </a:solidFill>
              <a:round/>
            </a:ln>
            <a:effectLst/>
          </c:spPr>
          <c:marker>
            <c:symbol val="circle"/>
            <c:size val="6"/>
            <c:spPr>
              <a:solidFill>
                <a:srgbClr val="FF0000"/>
              </a:solidFill>
              <a:ln w="28575">
                <a:noFill/>
              </a:ln>
              <a:effectLst/>
            </c:spPr>
          </c:marker>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Sheet1!$C$8:$T$8</c:f>
              <c:numCache>
                <c:formatCode>0.0_ </c:formatCode>
                <c:ptCount val="8"/>
                <c:pt idx="0">
                  <c:v>99.772999999999996</c:v>
                </c:pt>
                <c:pt idx="1">
                  <c:v>98.192999999999998</c:v>
                </c:pt>
                <c:pt idx="2">
                  <c:v>109.129</c:v>
                </c:pt>
                <c:pt idx="3">
                  <c:v>91.941000000000003</c:v>
                </c:pt>
                <c:pt idx="4">
                  <c:v>92.638999999999996</c:v>
                </c:pt>
                <c:pt idx="5">
                  <c:v>98.192999999999998</c:v>
                </c:pt>
                <c:pt idx="6">
                  <c:v>101.374</c:v>
                </c:pt>
                <c:pt idx="7">
                  <c:v>94.878</c:v>
                </c:pt>
              </c:numCache>
            </c:numRef>
          </c:val>
          <c:extLst>
            <c:ext xmlns:c16="http://schemas.microsoft.com/office/drawing/2014/chart" uri="{C3380CC4-5D6E-409C-BE32-E72D297353CC}">
              <c16:uniqueId val="{00000001-9474-4409-809D-BE353007AF96}"/>
            </c:ext>
          </c:extLst>
        </c:ser>
        <c:ser>
          <c:idx val="4"/>
          <c:order val="4"/>
          <c:tx>
            <c:strRef>
              <c:f>Sheet1!$A$10:$B$10</c:f>
              <c:strCache>
                <c:ptCount val="2"/>
                <c:pt idx="0">
                  <c:v>11241鶴ケ島市　　　　　</c:v>
                </c:pt>
                <c:pt idx="1">
                  <c:v>男性</c:v>
                </c:pt>
              </c:strCache>
            </c:strRef>
          </c:tx>
          <c:spPr>
            <a:ln w="38100" cap="rnd">
              <a:solidFill>
                <a:srgbClr val="0000FF"/>
              </a:solidFill>
              <a:round/>
            </a:ln>
            <a:effectLst/>
          </c:spPr>
          <c:marker>
            <c:symbol val="square"/>
            <c:size val="10"/>
            <c:spPr>
              <a:solidFill>
                <a:srgbClr val="0070C0"/>
              </a:solidFill>
              <a:ln w="9525">
                <a:solidFill>
                  <a:schemeClr val="accent5"/>
                </a:solidFill>
              </a:ln>
              <a:effectLst/>
            </c:spPr>
          </c:marker>
          <c:dLbls>
            <c:dLbl>
              <c:idx val="0"/>
              <c:layout>
                <c:manualLayout>
                  <c:x val="4.5893719806763197E-2"/>
                  <c:y val="1.90476190476190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74-4409-809D-BE353007AF96}"/>
                </c:ext>
              </c:extLst>
            </c:dLbl>
            <c:dLbl>
              <c:idx val="1"/>
              <c:layout>
                <c:manualLayout>
                  <c:x val="3.3816425120772944E-2"/>
                  <c:y val="5.71428571428571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74-4409-809D-BE353007AF96}"/>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Sheet1!$C$10:$T$10</c:f>
              <c:numCache>
                <c:formatCode>0.0_ </c:formatCode>
                <c:ptCount val="8"/>
                <c:pt idx="0">
                  <c:v>96.388999999999996</c:v>
                </c:pt>
                <c:pt idx="1">
                  <c:v>96.576999999999998</c:v>
                </c:pt>
                <c:pt idx="2">
                  <c:v>95.881</c:v>
                </c:pt>
                <c:pt idx="3">
                  <c:v>94.965000000000003</c:v>
                </c:pt>
                <c:pt idx="4">
                  <c:v>86.992000000000004</c:v>
                </c:pt>
                <c:pt idx="5">
                  <c:v>104.1</c:v>
                </c:pt>
                <c:pt idx="6">
                  <c:v>99.816999999999993</c:v>
                </c:pt>
                <c:pt idx="7">
                  <c:v>93.488</c:v>
                </c:pt>
              </c:numCache>
            </c:numRef>
          </c:val>
          <c:extLst>
            <c:ext xmlns:c16="http://schemas.microsoft.com/office/drawing/2014/chart" uri="{C3380CC4-5D6E-409C-BE32-E72D297353CC}">
              <c16:uniqueId val="{00000009-9474-4409-809D-BE353007AF96}"/>
            </c:ext>
          </c:extLst>
        </c:ser>
        <c:dLbls>
          <c:showLegendKey val="0"/>
          <c:showVal val="0"/>
          <c:showCatName val="0"/>
          <c:showSerName val="0"/>
          <c:showPercent val="0"/>
          <c:showBubbleSize val="0"/>
        </c:dLbls>
        <c:axId val="424099792"/>
        <c:axId val="424100968"/>
        <c:extLst>
          <c:ext xmlns:c15="http://schemas.microsoft.com/office/drawing/2012/chart" uri="{02D57815-91ED-43cb-92C2-25804820EDAC}">
            <c15:filteredRadarSeries>
              <c15:ser>
                <c:idx val="1"/>
                <c:order val="1"/>
                <c:tx>
                  <c:strRef>
                    <c:extLst>
                      <c:ext uri="{02D57815-91ED-43cb-92C2-25804820EDAC}">
                        <c15:formulaRef>
                          <c15:sqref>Sheet1!$A$7:$B$7</c15:sqref>
                        </c15:formulaRef>
                      </c:ext>
                    </c:extLst>
                    <c:strCache>
                      <c:ptCount val="2"/>
                      <c:pt idx="0">
                        <c:v>全国</c:v>
                      </c:pt>
                      <c:pt idx="1">
                        <c:v>女性</c:v>
                      </c:pt>
                    </c:strCache>
                  </c:strRef>
                </c:tx>
                <c:spPr>
                  <a:ln w="28575" cap="rnd">
                    <a:solidFill>
                      <a:schemeClr val="accent2"/>
                    </a:solidFill>
                    <a:round/>
                  </a:ln>
                  <a:effectLst/>
                </c:spPr>
                <c:marker>
                  <c:symbol val="none"/>
                </c:marker>
                <c:cat>
                  <c:strRef>
                    <c:extLst>
                      <c:ex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c:ext uri="{02D57815-91ED-43cb-92C2-25804820EDAC}">
                        <c15:formulaRef>
                          <c15:sqref>Sheet1!$C$7:$T$7</c15:sqref>
                        </c15:formulaRef>
                      </c:ext>
                    </c:extLst>
                    <c:numCache>
                      <c:formatCode>0.0_ </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A-9474-4409-809D-BE353007AF96}"/>
                  </c:ext>
                </c:extLst>
              </c15:ser>
            </c15:filteredRadarSeries>
            <c15:filteredRadarSeries>
              <c15:ser>
                <c:idx val="3"/>
                <c:order val="3"/>
                <c:tx>
                  <c:strRef>
                    <c:extLst xmlns:c15="http://schemas.microsoft.com/office/drawing/2012/chart">
                      <c:ext xmlns:c15="http://schemas.microsoft.com/office/drawing/2012/chart" uri="{02D57815-91ED-43cb-92C2-25804820EDAC}">
                        <c15:formulaRef>
                          <c15:sqref>Sheet1!$A$9:$B$9</c15:sqref>
                        </c15:formulaRef>
                      </c:ext>
                    </c:extLst>
                    <c:strCache>
                      <c:ptCount val="2"/>
                      <c:pt idx="0">
                        <c:v>11埼玉県　　　　　　　 </c:v>
                      </c:pt>
                      <c:pt idx="1">
                        <c:v>女性</c:v>
                      </c:pt>
                    </c:strCache>
                  </c:strRef>
                </c:tx>
                <c:spPr>
                  <a:ln w="28575" cap="rnd">
                    <a:solidFill>
                      <a:schemeClr val="accent4"/>
                    </a:solidFill>
                    <a:round/>
                  </a:ln>
                  <a:effectLst/>
                </c:spPr>
                <c:marker>
                  <c:symbol val="none"/>
                </c:marker>
                <c:cat>
                  <c:strRef>
                    <c:extLst xmlns:c15="http://schemas.microsoft.com/office/drawing/2012/chart">
                      <c:ext xmlns:c15="http://schemas.microsoft.com/office/drawing/2012/char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xmlns:c15="http://schemas.microsoft.com/office/drawing/2012/chart">
                      <c:ext xmlns:c15="http://schemas.microsoft.com/office/drawing/2012/chart" uri="{02D57815-91ED-43cb-92C2-25804820EDAC}">
                        <c15:formulaRef>
                          <c15:sqref>Sheet1!$C$9:$T$9</c15:sqref>
                        </c15:formulaRef>
                      </c:ext>
                    </c:extLst>
                    <c:numCache>
                      <c:formatCode>0.0_ </c:formatCode>
                      <c:ptCount val="8"/>
                      <c:pt idx="0">
                        <c:v>104.20099999999999</c:v>
                      </c:pt>
                      <c:pt idx="1">
                        <c:v>100.68300000000001</c:v>
                      </c:pt>
                      <c:pt idx="2">
                        <c:v>120.559</c:v>
                      </c:pt>
                      <c:pt idx="3">
                        <c:v>105.355</c:v>
                      </c:pt>
                      <c:pt idx="4">
                        <c:v>95.48</c:v>
                      </c:pt>
                      <c:pt idx="5">
                        <c:v>102.642</c:v>
                      </c:pt>
                      <c:pt idx="6">
                        <c:v>103.218</c:v>
                      </c:pt>
                      <c:pt idx="7">
                        <c:v>107.02200000000001</c:v>
                      </c:pt>
                    </c:numCache>
                  </c:numRef>
                </c:val>
                <c:extLst xmlns:c15="http://schemas.microsoft.com/office/drawing/2012/chart">
                  <c:ext xmlns:c16="http://schemas.microsoft.com/office/drawing/2014/chart" uri="{C3380CC4-5D6E-409C-BE32-E72D297353CC}">
                    <c16:uniqueId val="{0000000B-9474-4409-809D-BE353007AF96}"/>
                  </c:ext>
                </c:extLst>
              </c15:ser>
            </c15:filteredRadarSeries>
            <c15:filteredRadarSeries>
              <c15:ser>
                <c:idx val="5"/>
                <c:order val="5"/>
                <c:tx>
                  <c:strRef>
                    <c:extLst xmlns:c15="http://schemas.microsoft.com/office/drawing/2012/chart">
                      <c:ext xmlns:c15="http://schemas.microsoft.com/office/drawing/2012/chart" uri="{02D57815-91ED-43cb-92C2-25804820EDAC}">
                        <c15:formulaRef>
                          <c15:sqref>Sheet1!$A$11:$B$11</c15:sqref>
                        </c15:formulaRef>
                      </c:ext>
                    </c:extLst>
                    <c:strCache>
                      <c:ptCount val="2"/>
                      <c:pt idx="0">
                        <c:v>11241鶴ケ島市　　　　　</c:v>
                      </c:pt>
                      <c:pt idx="1">
                        <c:v>女性</c:v>
                      </c:pt>
                    </c:strCache>
                  </c:strRef>
                </c:tx>
                <c:spPr>
                  <a:ln w="28575" cap="rnd">
                    <a:solidFill>
                      <a:schemeClr val="accent6"/>
                    </a:solidFill>
                    <a:round/>
                  </a:ln>
                  <a:effectLst/>
                </c:spPr>
                <c:marker>
                  <c:symbol val="none"/>
                </c:marker>
                <c:cat>
                  <c:strRef>
                    <c:extLst xmlns:c15="http://schemas.microsoft.com/office/drawing/2012/chart">
                      <c:ext xmlns:c15="http://schemas.microsoft.com/office/drawing/2012/char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xmlns:c15="http://schemas.microsoft.com/office/drawing/2012/chart">
                      <c:ext xmlns:c15="http://schemas.microsoft.com/office/drawing/2012/chart" uri="{02D57815-91ED-43cb-92C2-25804820EDAC}">
                        <c15:formulaRef>
                          <c15:sqref>Sheet1!$C$11:$T$11</c15:sqref>
                        </c15:formulaRef>
                      </c:ext>
                    </c:extLst>
                    <c:numCache>
                      <c:formatCode>0.0_ </c:formatCode>
                      <c:ptCount val="8"/>
                      <c:pt idx="0">
                        <c:v>103.58199999999999</c:v>
                      </c:pt>
                      <c:pt idx="1">
                        <c:v>101.839</c:v>
                      </c:pt>
                      <c:pt idx="2">
                        <c:v>135.61500000000001</c:v>
                      </c:pt>
                      <c:pt idx="3">
                        <c:v>104.273</c:v>
                      </c:pt>
                      <c:pt idx="4">
                        <c:v>80.028999999999996</c:v>
                      </c:pt>
                      <c:pt idx="5">
                        <c:v>101.851</c:v>
                      </c:pt>
                      <c:pt idx="6">
                        <c:v>95.463999999999999</c:v>
                      </c:pt>
                      <c:pt idx="7">
                        <c:v>128.15199999999999</c:v>
                      </c:pt>
                    </c:numCache>
                  </c:numRef>
                </c:val>
                <c:extLst xmlns:c15="http://schemas.microsoft.com/office/drawing/2012/chart">
                  <c:ext xmlns:c16="http://schemas.microsoft.com/office/drawing/2014/chart" uri="{C3380CC4-5D6E-409C-BE32-E72D297353CC}">
                    <c16:uniqueId val="{0000000C-9474-4409-809D-BE353007AF96}"/>
                  </c:ext>
                </c:extLst>
              </c15:ser>
            </c15:filteredRadarSeries>
          </c:ext>
        </c:extLst>
      </c:radarChart>
      <c:catAx>
        <c:axId val="42409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24100968"/>
        <c:crosses val="autoZero"/>
        <c:auto val="1"/>
        <c:lblAlgn val="ctr"/>
        <c:lblOffset val="100"/>
        <c:noMultiLvlLbl val="0"/>
      </c:catAx>
      <c:valAx>
        <c:axId val="424100968"/>
        <c:scaling>
          <c:orientation val="minMax"/>
        </c:scaling>
        <c:delete val="0"/>
        <c:axPos val="l"/>
        <c:majorGridlines>
          <c:spPr>
            <a:ln w="9525" cap="flat" cmpd="sng" algn="ctr">
              <a:solidFill>
                <a:schemeClr val="tx1">
                  <a:lumMod val="75000"/>
                  <a:lumOff val="2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crossAx val="424099792"/>
        <c:crosses val="autoZero"/>
        <c:crossBetween val="between"/>
        <c:majorUnit val="50"/>
      </c:valAx>
      <c:spPr>
        <a:noFill/>
        <a:ln>
          <a:solidFill>
            <a:schemeClr val="bg1"/>
          </a:solidFill>
        </a:ln>
        <a:effectLst/>
      </c:spPr>
    </c:plotArea>
    <c:legend>
      <c:legendPos val="t"/>
      <c:layout>
        <c:manualLayout>
          <c:xMode val="edge"/>
          <c:yMode val="edge"/>
          <c:x val="0.76621591371425113"/>
          <c:y val="3.4398148148148143E-2"/>
          <c:w val="0.22777016174493026"/>
          <c:h val="0.4585379367560240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図３</a:t>
            </a: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２</a:t>
            </a:r>
            <a:r>
              <a:rPr lang="en-US" altLang="ja-JP" sz="1200" b="1">
                <a:solidFill>
                  <a:schemeClr val="tx1"/>
                </a:solidFill>
                <a:latin typeface="ＭＳ ゴシック" panose="020B0609070205080204" pitchFamily="49" charset="-128"/>
                <a:ea typeface="ＭＳ ゴシック" panose="020B0609070205080204" pitchFamily="49" charset="-128"/>
              </a:rPr>
              <a:t>】</a:t>
            </a:r>
            <a:r>
              <a:rPr lang="ja-JP" altLang="en-US" sz="1200" b="1">
                <a:solidFill>
                  <a:schemeClr val="tx1"/>
                </a:solidFill>
                <a:latin typeface="ＭＳ ゴシック" panose="020B0609070205080204" pitchFamily="49" charset="-128"/>
                <a:ea typeface="ＭＳ ゴシック" panose="020B0609070205080204" pitchFamily="49" charset="-128"/>
              </a:rPr>
              <a:t>主な死因別標準化死亡比  ２５－２９年  女性</a:t>
            </a:r>
          </a:p>
        </c:rich>
      </c:tx>
      <c:layout>
        <c:manualLayout>
          <c:xMode val="edge"/>
          <c:yMode val="edge"/>
          <c:x val="4.1180900261588486E-2"/>
          <c:y val="3.2931608937483849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0394113775617351"/>
          <c:y val="0.22054206954700611"/>
          <c:w val="0.44596357516379154"/>
          <c:h val="0.73950921957540117"/>
        </c:manualLayout>
      </c:layout>
      <c:radarChart>
        <c:radarStyle val="marker"/>
        <c:varyColors val="0"/>
        <c:ser>
          <c:idx val="1"/>
          <c:order val="1"/>
          <c:tx>
            <c:strRef>
              <c:f>Sheet1!$A$7:$B$7</c:f>
              <c:strCache>
                <c:ptCount val="2"/>
                <c:pt idx="0">
                  <c:v>全国</c:v>
                </c:pt>
                <c:pt idx="1">
                  <c:v>女性</c:v>
                </c:pt>
              </c:strCache>
            </c:strRef>
          </c:tx>
          <c:spPr>
            <a:ln w="28575" cap="rnd">
              <a:solidFill>
                <a:srgbClr val="00B050"/>
              </a:solidFill>
              <a:prstDash val="sysDash"/>
              <a:round/>
            </a:ln>
            <a:effectLst/>
          </c:spPr>
          <c:marker>
            <c:symbol val="none"/>
          </c:marker>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Sheet1!$C$7:$T$7</c:f>
              <c:numCache>
                <c:formatCode>0.0_ </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0-27FE-4DD1-AFC3-887BCCB59069}"/>
            </c:ext>
          </c:extLst>
        </c:ser>
        <c:ser>
          <c:idx val="3"/>
          <c:order val="3"/>
          <c:tx>
            <c:strRef>
              <c:f>Sheet1!$A$9:$B$9</c:f>
              <c:strCache>
                <c:ptCount val="2"/>
                <c:pt idx="0">
                  <c:v>11埼玉県　　　　　　　 </c:v>
                </c:pt>
                <c:pt idx="1">
                  <c:v>女性</c:v>
                </c:pt>
              </c:strCache>
            </c:strRef>
          </c:tx>
          <c:spPr>
            <a:ln w="25400" cap="rnd">
              <a:solidFill>
                <a:srgbClr val="FF0000"/>
              </a:solidFill>
              <a:round/>
            </a:ln>
            <a:effectLst/>
          </c:spPr>
          <c:marker>
            <c:symbol val="circle"/>
            <c:size val="6"/>
            <c:spPr>
              <a:solidFill>
                <a:srgbClr val="FF0000"/>
              </a:solidFill>
              <a:ln w="9525">
                <a:noFill/>
              </a:ln>
              <a:effectLst/>
            </c:spPr>
          </c:marker>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Sheet1!$C$9:$T$9</c:f>
              <c:numCache>
                <c:formatCode>0.0_ </c:formatCode>
                <c:ptCount val="8"/>
                <c:pt idx="0">
                  <c:v>104.20099999999999</c:v>
                </c:pt>
                <c:pt idx="1">
                  <c:v>100.68300000000001</c:v>
                </c:pt>
                <c:pt idx="2">
                  <c:v>120.559</c:v>
                </c:pt>
                <c:pt idx="3">
                  <c:v>105.355</c:v>
                </c:pt>
                <c:pt idx="4">
                  <c:v>95.48</c:v>
                </c:pt>
                <c:pt idx="5">
                  <c:v>102.642</c:v>
                </c:pt>
                <c:pt idx="6">
                  <c:v>103.218</c:v>
                </c:pt>
                <c:pt idx="7">
                  <c:v>107.02200000000001</c:v>
                </c:pt>
              </c:numCache>
            </c:numRef>
          </c:val>
          <c:extLst>
            <c:ext xmlns:c16="http://schemas.microsoft.com/office/drawing/2014/chart" uri="{C3380CC4-5D6E-409C-BE32-E72D297353CC}">
              <c16:uniqueId val="{00000001-27FE-4DD1-AFC3-887BCCB59069}"/>
            </c:ext>
          </c:extLst>
        </c:ser>
        <c:ser>
          <c:idx val="5"/>
          <c:order val="5"/>
          <c:tx>
            <c:strRef>
              <c:f>Sheet1!$A$11:$B$11</c:f>
              <c:strCache>
                <c:ptCount val="2"/>
                <c:pt idx="0">
                  <c:v>11241鶴ケ島市　　　　　</c:v>
                </c:pt>
                <c:pt idx="1">
                  <c:v>女性</c:v>
                </c:pt>
              </c:strCache>
            </c:strRef>
          </c:tx>
          <c:spPr>
            <a:ln w="38100" cap="rnd">
              <a:solidFill>
                <a:srgbClr val="0070C0"/>
              </a:solidFill>
              <a:round/>
            </a:ln>
            <a:effectLst/>
          </c:spPr>
          <c:marker>
            <c:symbol val="square"/>
            <c:size val="10"/>
            <c:spPr>
              <a:solidFill>
                <a:srgbClr val="0070C0"/>
              </a:solidFill>
              <a:ln w="9525">
                <a:solidFill>
                  <a:schemeClr val="accent6"/>
                </a:solidFill>
              </a:ln>
              <a:effectLst/>
            </c:spPr>
          </c:marker>
          <c:dLbls>
            <c:dLbl>
              <c:idx val="0"/>
              <c:layout>
                <c:manualLayout>
                  <c:x val="5.7313977366488376E-2"/>
                  <c:y val="2.70664871554268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FE-4DD1-AFC3-887BCCB59069}"/>
                </c:ext>
              </c:extLst>
            </c:dLbl>
            <c:dLbl>
              <c:idx val="1"/>
              <c:layout>
                <c:manualLayout>
                  <c:x val="2.3101330612883299E-2"/>
                  <c:y val="2.9395781485863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7FE-4DD1-AFC3-887BCCB59069}"/>
                </c:ext>
              </c:extLst>
            </c:dLbl>
            <c:dLbl>
              <c:idx val="2"/>
              <c:layout>
                <c:manualLayout>
                  <c:x val="-2.1845494957589626E-2"/>
                  <c:y val="5.74079664912351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7FE-4DD1-AFC3-887BCCB59069}"/>
                </c:ext>
              </c:extLst>
            </c:dLbl>
            <c:dLbl>
              <c:idx val="3"/>
              <c:layout>
                <c:manualLayout>
                  <c:x val="-1.5758751615706557E-2"/>
                  <c:y val="5.783797750669640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7FE-4DD1-AFC3-887BCCB59069}"/>
                </c:ext>
              </c:extLst>
            </c:dLbl>
            <c:dLbl>
              <c:idx val="4"/>
              <c:layout>
                <c:manualLayout>
                  <c:x val="-3.7410581461046866E-2"/>
                  <c:y val="1.47030584907456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7FE-4DD1-AFC3-887BCCB59069}"/>
                </c:ext>
              </c:extLst>
            </c:dLbl>
            <c:dLbl>
              <c:idx val="5"/>
              <c:layout>
                <c:manualLayout>
                  <c:x val="1.4077450228329761E-2"/>
                  <c:y val="1.97897542599919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7FE-4DD1-AFC3-887BCCB59069}"/>
                </c:ext>
              </c:extLst>
            </c:dLbl>
            <c:dLbl>
              <c:idx val="6"/>
              <c:layout>
                <c:manualLayout>
                  <c:x val="1.1478436303597303E-2"/>
                  <c:y val="6.0862197924741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7FE-4DD1-AFC3-887BCCB59069}"/>
                </c:ext>
              </c:extLst>
            </c:dLbl>
            <c:dLbl>
              <c:idx val="7"/>
              <c:layout>
                <c:manualLayout>
                  <c:x val="-2.5255898921573539E-2"/>
                  <c:y val="9.5971876572423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7FE-4DD1-AFC3-887BCCB59069}"/>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ＭＳ Ｐゴシック" panose="020B0600070205080204" pitchFamily="50" charset="-128"/>
                    <a:ea typeface="ＭＳ Ｐゴシック" panose="020B0600070205080204" pitchFamily="50"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Sheet1!$C$5:$T$5</c:f>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f>Sheet1!$C$11:$T$11</c:f>
              <c:numCache>
                <c:formatCode>0.0_ </c:formatCode>
                <c:ptCount val="8"/>
                <c:pt idx="0">
                  <c:v>103.58199999999999</c:v>
                </c:pt>
                <c:pt idx="1">
                  <c:v>101.839</c:v>
                </c:pt>
                <c:pt idx="2">
                  <c:v>135.61500000000001</c:v>
                </c:pt>
                <c:pt idx="3">
                  <c:v>104.273</c:v>
                </c:pt>
                <c:pt idx="4">
                  <c:v>80.028999999999996</c:v>
                </c:pt>
                <c:pt idx="5">
                  <c:v>101.851</c:v>
                </c:pt>
                <c:pt idx="6">
                  <c:v>95.463999999999999</c:v>
                </c:pt>
                <c:pt idx="7">
                  <c:v>128.15199999999999</c:v>
                </c:pt>
              </c:numCache>
            </c:numRef>
          </c:val>
          <c:extLst>
            <c:ext xmlns:c16="http://schemas.microsoft.com/office/drawing/2014/chart" uri="{C3380CC4-5D6E-409C-BE32-E72D297353CC}">
              <c16:uniqueId val="{0000000A-27FE-4DD1-AFC3-887BCCB59069}"/>
            </c:ext>
          </c:extLst>
        </c:ser>
        <c:dLbls>
          <c:showLegendKey val="0"/>
          <c:showVal val="0"/>
          <c:showCatName val="0"/>
          <c:showSerName val="0"/>
          <c:showPercent val="0"/>
          <c:showBubbleSize val="0"/>
        </c:dLbls>
        <c:axId val="424103712"/>
        <c:axId val="424104104"/>
        <c:extLst>
          <c:ext xmlns:c15="http://schemas.microsoft.com/office/drawing/2012/chart" uri="{02D57815-91ED-43cb-92C2-25804820EDAC}">
            <c15:filteredRadarSeries>
              <c15:ser>
                <c:idx val="0"/>
                <c:order val="0"/>
                <c:tx>
                  <c:strRef>
                    <c:extLst>
                      <c:ext uri="{02D57815-91ED-43cb-92C2-25804820EDAC}">
                        <c15:formulaRef>
                          <c15:sqref>Sheet1!$A$6:$B$6</c15:sqref>
                        </c15:formulaRef>
                      </c:ext>
                    </c:extLst>
                    <c:strCache>
                      <c:ptCount val="2"/>
                      <c:pt idx="0">
                        <c:v>全国</c:v>
                      </c:pt>
                      <c:pt idx="1">
                        <c:v>男性</c:v>
                      </c:pt>
                    </c:strCache>
                  </c:strRef>
                </c:tx>
                <c:spPr>
                  <a:ln w="28575" cap="rnd">
                    <a:solidFill>
                      <a:schemeClr val="accent1"/>
                    </a:solidFill>
                    <a:round/>
                  </a:ln>
                  <a:effectLst/>
                </c:spPr>
                <c:marker>
                  <c:symbol val="none"/>
                </c:marker>
                <c:cat>
                  <c:strRef>
                    <c:extLst>
                      <c:ex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c:ext uri="{02D57815-91ED-43cb-92C2-25804820EDAC}">
                        <c15:formulaRef>
                          <c15:sqref>Sheet1!$C$6:$T$6</c15:sqref>
                        </c15:formulaRef>
                      </c:ext>
                    </c:extLst>
                    <c:numCache>
                      <c:formatCode>0.0_ </c:formatCode>
                      <c:ptCount val="8"/>
                      <c:pt idx="0">
                        <c:v>100</c:v>
                      </c:pt>
                      <c:pt idx="1">
                        <c:v>100</c:v>
                      </c:pt>
                      <c:pt idx="2">
                        <c:v>100</c:v>
                      </c:pt>
                      <c:pt idx="3">
                        <c:v>100</c:v>
                      </c:pt>
                      <c:pt idx="4">
                        <c:v>100</c:v>
                      </c:pt>
                      <c:pt idx="5">
                        <c:v>100</c:v>
                      </c:pt>
                      <c:pt idx="6">
                        <c:v>100</c:v>
                      </c:pt>
                      <c:pt idx="7">
                        <c:v>100</c:v>
                      </c:pt>
                    </c:numCache>
                  </c:numRef>
                </c:val>
                <c:extLst>
                  <c:ext xmlns:c16="http://schemas.microsoft.com/office/drawing/2014/chart" uri="{C3380CC4-5D6E-409C-BE32-E72D297353CC}">
                    <c16:uniqueId val="{0000000B-27FE-4DD1-AFC3-887BCCB59069}"/>
                  </c:ext>
                </c:extLst>
              </c15:ser>
            </c15:filteredRadarSeries>
            <c15:filteredRadarSeries>
              <c15:ser>
                <c:idx val="2"/>
                <c:order val="2"/>
                <c:tx>
                  <c:strRef>
                    <c:extLst xmlns:c15="http://schemas.microsoft.com/office/drawing/2012/chart">
                      <c:ext xmlns:c15="http://schemas.microsoft.com/office/drawing/2012/chart" uri="{02D57815-91ED-43cb-92C2-25804820EDAC}">
                        <c15:formulaRef>
                          <c15:sqref>Sheet1!$A$8:$B$8</c15:sqref>
                        </c15:formulaRef>
                      </c:ext>
                    </c:extLst>
                    <c:strCache>
                      <c:ptCount val="2"/>
                      <c:pt idx="0">
                        <c:v>11埼玉県　　　　　　　 </c:v>
                      </c:pt>
                      <c:pt idx="1">
                        <c:v>男性</c:v>
                      </c:pt>
                    </c:strCache>
                  </c:strRef>
                </c:tx>
                <c:spPr>
                  <a:ln w="28575" cap="rnd">
                    <a:solidFill>
                      <a:schemeClr val="accent3"/>
                    </a:solidFill>
                    <a:round/>
                  </a:ln>
                  <a:effectLst/>
                </c:spPr>
                <c:marker>
                  <c:symbol val="none"/>
                </c:marker>
                <c:cat>
                  <c:strRef>
                    <c:extLst xmlns:c15="http://schemas.microsoft.com/office/drawing/2012/chart">
                      <c:ext xmlns:c15="http://schemas.microsoft.com/office/drawing/2012/char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xmlns:c15="http://schemas.microsoft.com/office/drawing/2012/chart">
                      <c:ext xmlns:c15="http://schemas.microsoft.com/office/drawing/2012/chart" uri="{02D57815-91ED-43cb-92C2-25804820EDAC}">
                        <c15:formulaRef>
                          <c15:sqref>Sheet1!$C$8:$T$8</c15:sqref>
                        </c15:formulaRef>
                      </c:ext>
                    </c:extLst>
                    <c:numCache>
                      <c:formatCode>0.0_ </c:formatCode>
                      <c:ptCount val="8"/>
                      <c:pt idx="0">
                        <c:v>99.772999999999996</c:v>
                      </c:pt>
                      <c:pt idx="1">
                        <c:v>98.192999999999998</c:v>
                      </c:pt>
                      <c:pt idx="2">
                        <c:v>109.129</c:v>
                      </c:pt>
                      <c:pt idx="3">
                        <c:v>91.941000000000003</c:v>
                      </c:pt>
                      <c:pt idx="4">
                        <c:v>92.638999999999996</c:v>
                      </c:pt>
                      <c:pt idx="5">
                        <c:v>98.192999999999998</c:v>
                      </c:pt>
                      <c:pt idx="6">
                        <c:v>101.374</c:v>
                      </c:pt>
                      <c:pt idx="7">
                        <c:v>94.878</c:v>
                      </c:pt>
                    </c:numCache>
                  </c:numRef>
                </c:val>
                <c:extLst xmlns:c15="http://schemas.microsoft.com/office/drawing/2012/chart">
                  <c:ext xmlns:c16="http://schemas.microsoft.com/office/drawing/2014/chart" uri="{C3380CC4-5D6E-409C-BE32-E72D297353CC}">
                    <c16:uniqueId val="{0000000C-27FE-4DD1-AFC3-887BCCB59069}"/>
                  </c:ext>
                </c:extLst>
              </c15:ser>
            </c15:filteredRadarSeries>
            <c15:filteredRadarSeries>
              <c15:ser>
                <c:idx val="4"/>
                <c:order val="4"/>
                <c:tx>
                  <c:strRef>
                    <c:extLst xmlns:c15="http://schemas.microsoft.com/office/drawing/2012/chart">
                      <c:ext xmlns:c15="http://schemas.microsoft.com/office/drawing/2012/chart" uri="{02D57815-91ED-43cb-92C2-25804820EDAC}">
                        <c15:formulaRef>
                          <c15:sqref>Sheet1!$A$10:$B$10</c15:sqref>
                        </c15:formulaRef>
                      </c:ext>
                    </c:extLst>
                    <c:strCache>
                      <c:ptCount val="2"/>
                      <c:pt idx="0">
                        <c:v>11241鶴ケ島市　　　　　</c:v>
                      </c:pt>
                      <c:pt idx="1">
                        <c:v>男性</c:v>
                      </c:pt>
                    </c:strCache>
                  </c:strRef>
                </c:tx>
                <c:spPr>
                  <a:ln w="28575" cap="rnd">
                    <a:solidFill>
                      <a:schemeClr val="accent5"/>
                    </a:solidFill>
                    <a:round/>
                  </a:ln>
                  <a:effectLst/>
                </c:spPr>
                <c:marker>
                  <c:symbol val="none"/>
                </c:marker>
                <c:cat>
                  <c:strRef>
                    <c:extLst xmlns:c15="http://schemas.microsoft.com/office/drawing/2012/chart">
                      <c:ext xmlns:c15="http://schemas.microsoft.com/office/drawing/2012/chart" uri="{02D57815-91ED-43cb-92C2-25804820EDAC}">
                        <c15:formulaRef>
                          <c15:sqref>Sheet1!$C$5:$T$5</c15:sqref>
                        </c15:formulaRef>
                      </c:ext>
                    </c:extLst>
                    <c:strCache>
                      <c:ptCount val="8"/>
                      <c:pt idx="0">
                        <c:v>全死因</c:v>
                      </c:pt>
                      <c:pt idx="1">
                        <c:v>悪性新生物総数</c:v>
                      </c:pt>
                      <c:pt idx="2">
                        <c:v>急性心筋梗塞</c:v>
                      </c:pt>
                      <c:pt idx="3">
                        <c:v>心不全</c:v>
                      </c:pt>
                      <c:pt idx="4">
                        <c:v>脳内出血</c:v>
                      </c:pt>
                      <c:pt idx="5">
                        <c:v>脳梗塞</c:v>
                      </c:pt>
                      <c:pt idx="6">
                        <c:v>腎不全</c:v>
                      </c:pt>
                      <c:pt idx="7">
                        <c:v>自殺</c:v>
                      </c:pt>
                    </c:strCache>
                  </c:strRef>
                </c:cat>
                <c:val>
                  <c:numRef>
                    <c:extLst xmlns:c15="http://schemas.microsoft.com/office/drawing/2012/chart">
                      <c:ext xmlns:c15="http://schemas.microsoft.com/office/drawing/2012/chart" uri="{02D57815-91ED-43cb-92C2-25804820EDAC}">
                        <c15:formulaRef>
                          <c15:sqref>Sheet1!$C$10:$T$10</c15:sqref>
                        </c15:formulaRef>
                      </c:ext>
                    </c:extLst>
                    <c:numCache>
                      <c:formatCode>0.0_ </c:formatCode>
                      <c:ptCount val="8"/>
                      <c:pt idx="0">
                        <c:v>96.388999999999996</c:v>
                      </c:pt>
                      <c:pt idx="1">
                        <c:v>96.576999999999998</c:v>
                      </c:pt>
                      <c:pt idx="2">
                        <c:v>95.881</c:v>
                      </c:pt>
                      <c:pt idx="3">
                        <c:v>94.965000000000003</c:v>
                      </c:pt>
                      <c:pt idx="4">
                        <c:v>86.992000000000004</c:v>
                      </c:pt>
                      <c:pt idx="5">
                        <c:v>96.576999999999998</c:v>
                      </c:pt>
                      <c:pt idx="6">
                        <c:v>99.816999999999993</c:v>
                      </c:pt>
                      <c:pt idx="7">
                        <c:v>93.488</c:v>
                      </c:pt>
                    </c:numCache>
                  </c:numRef>
                </c:val>
                <c:extLst xmlns:c15="http://schemas.microsoft.com/office/drawing/2012/chart">
                  <c:ext xmlns:c16="http://schemas.microsoft.com/office/drawing/2014/chart" uri="{C3380CC4-5D6E-409C-BE32-E72D297353CC}">
                    <c16:uniqueId val="{0000000D-27FE-4DD1-AFC3-887BCCB59069}"/>
                  </c:ext>
                </c:extLst>
              </c15:ser>
            </c15:filteredRadarSeries>
          </c:ext>
        </c:extLst>
      </c:radarChart>
      <c:catAx>
        <c:axId val="424103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24104104"/>
        <c:crosses val="autoZero"/>
        <c:auto val="1"/>
        <c:lblAlgn val="ctr"/>
        <c:lblOffset val="100"/>
        <c:noMultiLvlLbl val="0"/>
      </c:catAx>
      <c:valAx>
        <c:axId val="424104104"/>
        <c:scaling>
          <c:orientation val="minMax"/>
        </c:scaling>
        <c:delete val="0"/>
        <c:axPos val="l"/>
        <c:majorGridlines>
          <c:spPr>
            <a:ln w="9525" cap="flat" cmpd="sng" algn="ctr">
              <a:solidFill>
                <a:schemeClr val="tx1">
                  <a:lumMod val="75000"/>
                  <a:lumOff val="25000"/>
                </a:schemeClr>
              </a:solidFill>
              <a:round/>
            </a:ln>
            <a:effectLst/>
          </c:spPr>
        </c:majorGridlines>
        <c:numFmt formatCode="0.0_ "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ＭＳ Ｐゴシック" panose="020B0600070205080204" pitchFamily="50" charset="-128"/>
                <a:ea typeface="ＭＳ Ｐゴシック" panose="020B0600070205080204" pitchFamily="50" charset="-128"/>
                <a:cs typeface="+mn-cs"/>
              </a:defRPr>
            </a:pPr>
            <a:endParaRPr lang="ja-JP"/>
          </a:p>
        </c:txPr>
        <c:crossAx val="424103712"/>
        <c:crosses val="autoZero"/>
        <c:crossBetween val="between"/>
      </c:valAx>
      <c:spPr>
        <a:noFill/>
        <a:ln>
          <a:noFill/>
        </a:ln>
        <a:effectLst/>
      </c:spPr>
    </c:plotArea>
    <c:legend>
      <c:legendPos val="t"/>
      <c:layout>
        <c:manualLayout>
          <c:xMode val="edge"/>
          <c:yMode val="edge"/>
          <c:x val="0.77923108623809034"/>
          <c:y val="6.4025675547033298E-2"/>
          <c:w val="0.20582858177210608"/>
          <c:h val="0.4336735887288699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ja-JP"/>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r>
              <a:rPr lang="en-US"/>
              <a:t>【</a:t>
            </a:r>
            <a:r>
              <a:rPr lang="ja-JP"/>
              <a:t>図４</a:t>
            </a:r>
            <a:r>
              <a:rPr lang="en-US"/>
              <a:t>】</a:t>
            </a:r>
            <a:r>
              <a:rPr lang="ja-JP"/>
              <a:t>国民健康保険加入者割合の推移</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j-ea"/>
              <a:ea typeface="+mj-ea"/>
              <a:cs typeface="+mn-cs"/>
            </a:defRPr>
          </a:pPr>
          <a:endParaRPr lang="ja-JP"/>
        </a:p>
      </c:txPr>
    </c:title>
    <c:autoTitleDeleted val="0"/>
    <c:plotArea>
      <c:layout>
        <c:manualLayout>
          <c:layoutTarget val="inner"/>
          <c:xMode val="edge"/>
          <c:yMode val="edge"/>
          <c:x val="0.17971014492753623"/>
          <c:y val="0.12677947043561136"/>
          <c:w val="0.67563312729231317"/>
          <c:h val="0.56381801072116844"/>
        </c:manualLayout>
      </c:layout>
      <c:barChart>
        <c:barDir val="col"/>
        <c:grouping val="clustered"/>
        <c:varyColors val="0"/>
        <c:ser>
          <c:idx val="0"/>
          <c:order val="0"/>
          <c:tx>
            <c:strRef>
              <c:f>国保加入者割合の推移!$A$3</c:f>
              <c:strCache>
                <c:ptCount val="1"/>
                <c:pt idx="0">
                  <c:v>市の人口</c:v>
                </c:pt>
              </c:strCache>
            </c:strRef>
          </c:tx>
          <c:spPr>
            <a:pattFill prst="ltDnDiag">
              <a:fgClr>
                <a:srgbClr val="002060"/>
              </a:fgClr>
              <a:bgClr>
                <a:schemeClr val="bg1"/>
              </a:bgClr>
            </a:pattFill>
            <a:ln>
              <a:solidFill>
                <a:schemeClr val="tx1"/>
              </a:solidFill>
            </a:ln>
            <a:effectLst/>
          </c:spPr>
          <c:invertIfNegative val="0"/>
          <c:cat>
            <c:strRef>
              <c:f>国保加入者割合の推移!$K$2:$N$2</c:f>
              <c:strCache>
                <c:ptCount val="4"/>
                <c:pt idx="0">
                  <c:v>H28</c:v>
                </c:pt>
                <c:pt idx="1">
                  <c:v>H29</c:v>
                </c:pt>
                <c:pt idx="2">
                  <c:v>H30</c:v>
                </c:pt>
                <c:pt idx="3">
                  <c:v>R元</c:v>
                </c:pt>
              </c:strCache>
            </c:strRef>
          </c:cat>
          <c:val>
            <c:numRef>
              <c:f>国保加入者割合の推移!$K$3:$N$3</c:f>
              <c:numCache>
                <c:formatCode>#,##0_);[Red]\(#,##0\)</c:formatCode>
                <c:ptCount val="4"/>
                <c:pt idx="0">
                  <c:v>69987</c:v>
                </c:pt>
                <c:pt idx="1">
                  <c:v>70081</c:v>
                </c:pt>
                <c:pt idx="2">
                  <c:v>69950</c:v>
                </c:pt>
                <c:pt idx="3">
                  <c:v>69942</c:v>
                </c:pt>
              </c:numCache>
            </c:numRef>
          </c:val>
          <c:extLst>
            <c:ext xmlns:c16="http://schemas.microsoft.com/office/drawing/2014/chart" uri="{C3380CC4-5D6E-409C-BE32-E72D297353CC}">
              <c16:uniqueId val="{00000000-BBDF-47C6-8344-FA6C0ED5A021}"/>
            </c:ext>
          </c:extLst>
        </c:ser>
        <c:ser>
          <c:idx val="1"/>
          <c:order val="1"/>
          <c:tx>
            <c:strRef>
              <c:f>国保加入者割合の推移!$A$4</c:f>
              <c:strCache>
                <c:ptCount val="1"/>
                <c:pt idx="0">
                  <c:v>国保加入者数</c:v>
                </c:pt>
              </c:strCache>
            </c:strRef>
          </c:tx>
          <c:spPr>
            <a:pattFill prst="pct30">
              <a:fgClr>
                <a:srgbClr val="FF0000"/>
              </a:fgClr>
              <a:bgClr>
                <a:schemeClr val="bg1"/>
              </a:bgClr>
            </a:pattFill>
            <a:ln>
              <a:solidFill>
                <a:srgbClr val="FF0000"/>
              </a:solidFill>
            </a:ln>
            <a:effectLst/>
          </c:spPr>
          <c:invertIfNegative val="0"/>
          <c:cat>
            <c:strRef>
              <c:f>国保加入者割合の推移!$K$2:$N$2</c:f>
              <c:strCache>
                <c:ptCount val="4"/>
                <c:pt idx="0">
                  <c:v>H28</c:v>
                </c:pt>
                <c:pt idx="1">
                  <c:v>H29</c:v>
                </c:pt>
                <c:pt idx="2">
                  <c:v>H30</c:v>
                </c:pt>
                <c:pt idx="3">
                  <c:v>R元</c:v>
                </c:pt>
              </c:strCache>
            </c:strRef>
          </c:cat>
          <c:val>
            <c:numRef>
              <c:f>国保加入者割合の推移!$K$4:$N$4</c:f>
              <c:numCache>
                <c:formatCode>#,##0_);[Red]\(#,##0\)</c:formatCode>
                <c:ptCount val="4"/>
                <c:pt idx="0">
                  <c:v>18417</c:v>
                </c:pt>
                <c:pt idx="1">
                  <c:v>17457</c:v>
                </c:pt>
                <c:pt idx="2">
                  <c:v>16757</c:v>
                </c:pt>
                <c:pt idx="3">
                  <c:v>16149</c:v>
                </c:pt>
              </c:numCache>
            </c:numRef>
          </c:val>
          <c:extLst>
            <c:ext xmlns:c16="http://schemas.microsoft.com/office/drawing/2014/chart" uri="{C3380CC4-5D6E-409C-BE32-E72D297353CC}">
              <c16:uniqueId val="{00000001-BBDF-47C6-8344-FA6C0ED5A021}"/>
            </c:ext>
          </c:extLst>
        </c:ser>
        <c:dLbls>
          <c:showLegendKey val="0"/>
          <c:showVal val="0"/>
          <c:showCatName val="0"/>
          <c:showSerName val="0"/>
          <c:showPercent val="0"/>
          <c:showBubbleSize val="0"/>
        </c:dLbls>
        <c:gapWidth val="219"/>
        <c:axId val="1910020960"/>
        <c:axId val="1910034560"/>
      </c:barChart>
      <c:lineChart>
        <c:grouping val="standard"/>
        <c:varyColors val="0"/>
        <c:ser>
          <c:idx val="2"/>
          <c:order val="2"/>
          <c:tx>
            <c:strRef>
              <c:f>国保加入者割合の推移!$A$5</c:f>
              <c:strCache>
                <c:ptCount val="1"/>
                <c:pt idx="0">
                  <c:v>加入割合</c:v>
                </c:pt>
              </c:strCache>
            </c:strRef>
          </c:tx>
          <c:spPr>
            <a:ln w="22225" cap="rnd">
              <a:solidFill>
                <a:schemeClr val="tx1"/>
              </a:solidFill>
              <a:round/>
            </a:ln>
            <a:effectLst/>
          </c:spPr>
          <c:marker>
            <c:symbol val="circle"/>
            <c:size val="5"/>
            <c:spPr>
              <a:solidFill>
                <a:schemeClr val="accent3"/>
              </a:solidFill>
              <a:ln w="9525">
                <a:solidFill>
                  <a:schemeClr val="accent3"/>
                </a:solidFill>
              </a:ln>
              <a:effectLst/>
            </c:spPr>
          </c:marker>
          <c:cat>
            <c:strRef>
              <c:f>国保加入者割合の推移!$K$2:$N$2</c:f>
              <c:strCache>
                <c:ptCount val="4"/>
                <c:pt idx="0">
                  <c:v>H28</c:v>
                </c:pt>
                <c:pt idx="1">
                  <c:v>H29</c:v>
                </c:pt>
                <c:pt idx="2">
                  <c:v>H30</c:v>
                </c:pt>
                <c:pt idx="3">
                  <c:v>R元</c:v>
                </c:pt>
              </c:strCache>
            </c:strRef>
          </c:cat>
          <c:val>
            <c:numRef>
              <c:f>国保加入者割合の推移!$K$5:$N$5</c:f>
              <c:numCache>
                <c:formatCode>0.00%</c:formatCode>
                <c:ptCount val="4"/>
                <c:pt idx="0">
                  <c:v>0.2631</c:v>
                </c:pt>
                <c:pt idx="1">
                  <c:v>0.24909999999999999</c:v>
                </c:pt>
                <c:pt idx="2">
                  <c:v>0.23960000000000001</c:v>
                </c:pt>
                <c:pt idx="3">
                  <c:v>0.23089999999999999</c:v>
                </c:pt>
              </c:numCache>
            </c:numRef>
          </c:val>
          <c:smooth val="0"/>
          <c:extLst>
            <c:ext xmlns:c16="http://schemas.microsoft.com/office/drawing/2014/chart" uri="{C3380CC4-5D6E-409C-BE32-E72D297353CC}">
              <c16:uniqueId val="{00000002-BBDF-47C6-8344-FA6C0ED5A021}"/>
            </c:ext>
          </c:extLst>
        </c:ser>
        <c:dLbls>
          <c:showLegendKey val="0"/>
          <c:showVal val="0"/>
          <c:showCatName val="0"/>
          <c:showSerName val="0"/>
          <c:showPercent val="0"/>
          <c:showBubbleSize val="0"/>
        </c:dLbls>
        <c:marker val="1"/>
        <c:smooth val="0"/>
        <c:axId val="502079816"/>
        <c:axId val="502079488"/>
      </c:lineChart>
      <c:catAx>
        <c:axId val="19100209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1910034560"/>
        <c:crosses val="autoZero"/>
        <c:auto val="1"/>
        <c:lblAlgn val="ctr"/>
        <c:lblOffset val="100"/>
        <c:noMultiLvlLbl val="0"/>
      </c:catAx>
      <c:valAx>
        <c:axId val="1910034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r>
                  <a:rPr lang="ja-JP"/>
                  <a:t>人</a:t>
                </a:r>
              </a:p>
            </c:rich>
          </c:tx>
          <c:layout>
            <c:manualLayout>
              <c:xMode val="edge"/>
              <c:yMode val="edge"/>
              <c:x val="0.18550719433686422"/>
              <c:y val="6.3786743151951375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title>
        <c:numFmt formatCode="#,##0_);[Red]\(#,##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1910020960"/>
        <c:crosses val="autoZero"/>
        <c:crossBetween val="between"/>
      </c:valAx>
      <c:valAx>
        <c:axId val="502079488"/>
        <c:scaling>
          <c:orientation val="minMax"/>
          <c:min val="0"/>
        </c:scaling>
        <c:delete val="0"/>
        <c:axPos val="r"/>
        <c:title>
          <c:tx>
            <c:rich>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r>
                  <a:rPr lang="ja-JP"/>
                  <a:t>加入割合</a:t>
                </a:r>
              </a:p>
            </c:rich>
          </c:tx>
          <c:layout>
            <c:manualLayout>
              <c:xMode val="edge"/>
              <c:yMode val="edge"/>
              <c:x val="0.88212560386473426"/>
              <c:y val="1.9364339457567797E-2"/>
            </c:manualLayout>
          </c:layout>
          <c:overlay val="0"/>
          <c:spPr>
            <a:noFill/>
            <a:ln>
              <a:noFill/>
            </a:ln>
            <a:effectLst/>
          </c:spPr>
          <c:txPr>
            <a:bodyPr rot="0" spcFirstLastPara="1" vertOverflow="ellipsis" wrap="square" anchor="ctr" anchorCtr="1"/>
            <a:lstStyle/>
            <a:p>
              <a:pPr>
                <a:defRPr sz="1000" b="0" i="0" u="none" strike="noStrike" kern="1200" baseline="0">
                  <a:solidFill>
                    <a:schemeClr val="tx1">
                      <a:lumMod val="65000"/>
                      <a:lumOff val="35000"/>
                    </a:schemeClr>
                  </a:solidFill>
                  <a:latin typeface="+mj-ea"/>
                  <a:ea typeface="+mj-ea"/>
                  <a:cs typeface="+mn-cs"/>
                </a:defRPr>
              </a:pPr>
              <a:endParaRPr lang="ja-JP"/>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502079816"/>
        <c:crosses val="max"/>
        <c:crossBetween val="between"/>
        <c:majorUnit val="5.000000000000001E-2"/>
      </c:valAx>
      <c:catAx>
        <c:axId val="502079816"/>
        <c:scaling>
          <c:orientation val="minMax"/>
        </c:scaling>
        <c:delete val="1"/>
        <c:axPos val="b"/>
        <c:numFmt formatCode="General" sourceLinked="1"/>
        <c:majorTickMark val="out"/>
        <c:minorTickMark val="none"/>
        <c:tickLblPos val="nextTo"/>
        <c:crossAx val="502079488"/>
        <c:crosses val="autoZero"/>
        <c:auto val="1"/>
        <c:lblAlgn val="ctr"/>
        <c:lblOffset val="100"/>
        <c:noMultiLvlLbl val="0"/>
      </c:cat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j-ea"/>
                <a:ea typeface="+mj-ea"/>
                <a:cs typeface="+mn-cs"/>
              </a:defRPr>
            </a:pPr>
            <a:endParaRPr lang="ja-JP"/>
          </a:p>
        </c:txPr>
      </c:dTable>
      <c:spPr>
        <a:noFill/>
        <a:ln>
          <a:noFill/>
        </a:ln>
        <a:effectLst/>
      </c:spPr>
    </c:plotArea>
    <c:legend>
      <c:legendPos val="b"/>
      <c:layout>
        <c:manualLayout>
          <c:xMode val="edge"/>
          <c:yMode val="edge"/>
          <c:x val="0.26270531400966179"/>
          <c:y val="0.92380332458442693"/>
          <c:w val="0.45913043478260868"/>
          <c:h val="6.447036527310877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bg1"/>
    </a:solidFill>
    <a:ln w="9525" cap="flat" cmpd="sng" algn="ctr">
      <a:solidFill>
        <a:schemeClr val="tx1"/>
      </a:solidFill>
      <a:round/>
    </a:ln>
    <a:effectLst/>
  </c:spPr>
  <c:txPr>
    <a:bodyPr/>
    <a:lstStyle/>
    <a:p>
      <a:pPr>
        <a:defRPr>
          <a:latin typeface="+mj-ea"/>
          <a:ea typeface="+mj-ea"/>
        </a:defRPr>
      </a:pPr>
      <a:endParaRPr lang="ja-JP"/>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all" spc="120" normalizeH="0" baseline="0">
                <a:solidFill>
                  <a:schemeClr val="tx1"/>
                </a:solidFill>
                <a:latin typeface="ＭＳ ゴシック" panose="020B0609070205080204" pitchFamily="49" charset="-128"/>
                <a:ea typeface="ＭＳ ゴシック" panose="020B0609070205080204" pitchFamily="49" charset="-128"/>
                <a:cs typeface="+mn-cs"/>
              </a:defRPr>
            </a:pPr>
            <a:r>
              <a:rPr lang="en-US" altLang="ja-JP" sz="1400" b="0">
                <a:solidFill>
                  <a:schemeClr val="tx1"/>
                </a:solidFill>
                <a:latin typeface="ＭＳ ゴシック" panose="020B0609070205080204" pitchFamily="49" charset="-128"/>
                <a:ea typeface="ＭＳ ゴシック" panose="020B0609070205080204" pitchFamily="49" charset="-128"/>
              </a:rPr>
              <a:t>【</a:t>
            </a:r>
            <a:r>
              <a:rPr lang="ja-JP" altLang="en-US" sz="1400" b="0">
                <a:solidFill>
                  <a:schemeClr val="tx1"/>
                </a:solidFill>
                <a:latin typeface="ＭＳ ゴシック" panose="020B0609070205080204" pitchFamily="49" charset="-128"/>
                <a:ea typeface="ＭＳ ゴシック" panose="020B0609070205080204" pitchFamily="49" charset="-128"/>
              </a:rPr>
              <a:t>図５</a:t>
            </a:r>
            <a:r>
              <a:rPr lang="en-US" altLang="ja-JP" sz="1400" b="0">
                <a:solidFill>
                  <a:schemeClr val="tx1"/>
                </a:solidFill>
                <a:latin typeface="ＭＳ ゴシック" panose="020B0609070205080204" pitchFamily="49" charset="-128"/>
                <a:ea typeface="ＭＳ ゴシック" panose="020B0609070205080204" pitchFamily="49" charset="-128"/>
              </a:rPr>
              <a:t>】</a:t>
            </a:r>
            <a:r>
              <a:rPr lang="ja-JP" sz="1400" b="0">
                <a:solidFill>
                  <a:schemeClr val="tx1"/>
                </a:solidFill>
                <a:latin typeface="ＭＳ ゴシック" panose="020B0609070205080204" pitchFamily="49" charset="-128"/>
                <a:ea typeface="ＭＳ ゴシック" panose="020B0609070205080204" pitchFamily="49" charset="-128"/>
              </a:rPr>
              <a:t>特定</a:t>
            </a:r>
            <a:r>
              <a:rPr lang="ja-JP" altLang="en-US" sz="1400" b="0">
                <a:solidFill>
                  <a:schemeClr val="tx1"/>
                </a:solidFill>
                <a:latin typeface="ＭＳ ゴシック" panose="020B0609070205080204" pitchFamily="49" charset="-128"/>
                <a:ea typeface="ＭＳ ゴシック" panose="020B0609070205080204" pitchFamily="49" charset="-128"/>
              </a:rPr>
              <a:t>健康</a:t>
            </a:r>
            <a:r>
              <a:rPr lang="ja-JP" sz="1400" b="0">
                <a:solidFill>
                  <a:schemeClr val="tx1"/>
                </a:solidFill>
                <a:latin typeface="ＭＳ ゴシック" panose="020B0609070205080204" pitchFamily="49" charset="-128"/>
                <a:ea typeface="ＭＳ ゴシック" panose="020B0609070205080204" pitchFamily="49" charset="-128"/>
              </a:rPr>
              <a:t>診</a:t>
            </a:r>
            <a:r>
              <a:rPr lang="ja-JP" altLang="en-US" sz="1400" b="0">
                <a:solidFill>
                  <a:schemeClr val="tx1"/>
                </a:solidFill>
                <a:latin typeface="ＭＳ ゴシック" panose="020B0609070205080204" pitchFamily="49" charset="-128"/>
                <a:ea typeface="ＭＳ ゴシック" panose="020B0609070205080204" pitchFamily="49" charset="-128"/>
              </a:rPr>
              <a:t>査</a:t>
            </a:r>
            <a:r>
              <a:rPr lang="ja-JP" sz="1400" b="0">
                <a:solidFill>
                  <a:schemeClr val="tx1"/>
                </a:solidFill>
                <a:latin typeface="ＭＳ ゴシック" panose="020B0609070205080204" pitchFamily="49" charset="-128"/>
                <a:ea typeface="ＭＳ ゴシック" panose="020B0609070205080204" pitchFamily="49" charset="-128"/>
              </a:rPr>
              <a:t>受診率</a:t>
            </a:r>
            <a:r>
              <a:rPr lang="ja-JP" altLang="en-US" sz="1400" b="0">
                <a:solidFill>
                  <a:schemeClr val="tx1"/>
                </a:solidFill>
                <a:latin typeface="ＭＳ ゴシック" panose="020B0609070205080204" pitchFamily="49" charset="-128"/>
                <a:ea typeface="ＭＳ ゴシック" panose="020B0609070205080204" pitchFamily="49" charset="-128"/>
              </a:rPr>
              <a:t>の推移</a:t>
            </a:r>
            <a:endParaRPr lang="ja-JP" sz="1400" b="0">
              <a:solidFill>
                <a:schemeClr val="tx1"/>
              </a:solidFill>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400" b="0" i="0" u="none" strike="noStrike" kern="1200" cap="all" spc="120" normalizeH="0" baseline="0">
              <a:solidFill>
                <a:schemeClr val="tx1"/>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1096086807709539"/>
          <c:y val="0.16810385085570342"/>
          <c:w val="0.85219916476149049"/>
          <c:h val="0.63850897213887459"/>
        </c:manualLayout>
      </c:layout>
      <c:lineChart>
        <c:grouping val="standard"/>
        <c:varyColors val="0"/>
        <c:ser>
          <c:idx val="0"/>
          <c:order val="0"/>
          <c:tx>
            <c:strRef>
              <c:f>'Sheet2 (2)'!$A$20</c:f>
              <c:strCache>
                <c:ptCount val="1"/>
                <c:pt idx="0">
                  <c:v>鶴ヶ島市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9.2059827773218021E-3"/>
                  <c:y val="9.7391286565553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A02-42E2-985E-58995CC3CABB}"/>
                </c:ext>
              </c:extLst>
            </c:dLbl>
            <c:dLbl>
              <c:idx val="1"/>
              <c:layout>
                <c:manualLayout>
                  <c:x val="0"/>
                  <c:y val="5.56521637517445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02-42E2-985E-58995CC3CABB}"/>
                </c:ext>
              </c:extLst>
            </c:dLbl>
            <c:dLbl>
              <c:idx val="2"/>
              <c:layout>
                <c:manualLayout>
                  <c:x val="-1.1111200564513932E-2"/>
                  <c:y val="6.04267834437003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A02-42E2-985E-58995CC3CABB}"/>
                </c:ext>
              </c:extLst>
            </c:dLbl>
            <c:dLbl>
              <c:idx val="3"/>
              <c:layout>
                <c:manualLayout>
                  <c:x val="-6.0952871668190155E-2"/>
                  <c:y val="-6.48154618141867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A02-42E2-985E-58995CC3C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(2)'!$B$19:$E$19</c:f>
              <c:strCache>
                <c:ptCount val="4"/>
                <c:pt idx="0">
                  <c:v>Ｈ28</c:v>
                </c:pt>
                <c:pt idx="1">
                  <c:v>Ｈ29</c:v>
                </c:pt>
                <c:pt idx="2">
                  <c:v>Ｈ30</c:v>
                </c:pt>
                <c:pt idx="3">
                  <c:v>Ｒ元</c:v>
                </c:pt>
              </c:strCache>
            </c:strRef>
          </c:cat>
          <c:val>
            <c:numRef>
              <c:f>'Sheet2 (2)'!$B$20:$E$20</c:f>
              <c:numCache>
                <c:formatCode>0.0%</c:formatCode>
                <c:ptCount val="4"/>
                <c:pt idx="0">
                  <c:v>0.38800000000000001</c:v>
                </c:pt>
                <c:pt idx="1">
                  <c:v>0.36899999999999999</c:v>
                </c:pt>
                <c:pt idx="2">
                  <c:v>0.36599999999999999</c:v>
                </c:pt>
                <c:pt idx="3">
                  <c:v>0.441</c:v>
                </c:pt>
              </c:numCache>
            </c:numRef>
          </c:val>
          <c:smooth val="0"/>
          <c:extLst>
            <c:ext xmlns:c16="http://schemas.microsoft.com/office/drawing/2014/chart" uri="{C3380CC4-5D6E-409C-BE32-E72D297353CC}">
              <c16:uniqueId val="{00000004-1A02-42E2-985E-58995CC3CABB}"/>
            </c:ext>
          </c:extLst>
        </c:ser>
        <c:ser>
          <c:idx val="1"/>
          <c:order val="1"/>
          <c:tx>
            <c:strRef>
              <c:f>'Sheet2 (2)'!$A$21</c:f>
              <c:strCache>
                <c:ptCount val="1"/>
                <c:pt idx="0">
                  <c:v>埼玉県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dLbl>
              <c:idx val="0"/>
              <c:layout>
                <c:manualLayout>
                  <c:x val="-0.11200612379074826"/>
                  <c:y val="-7.18840448460034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A02-42E2-985E-58995CC3CABB}"/>
                </c:ext>
              </c:extLst>
            </c:dLbl>
            <c:dLbl>
              <c:idx val="1"/>
              <c:layout>
                <c:manualLayout>
                  <c:x val="-9.2059827773217744E-3"/>
                  <c:y val="-4.63768031264538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A02-42E2-985E-58995CC3CABB}"/>
                </c:ext>
              </c:extLst>
            </c:dLbl>
            <c:dLbl>
              <c:idx val="2"/>
              <c:layout>
                <c:manualLayout>
                  <c:x val="9.1583360767724881E-4"/>
                  <c:y val="-5.56521637517446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A02-42E2-985E-58995CC3CABB}"/>
                </c:ext>
              </c:extLst>
            </c:dLbl>
            <c:dLbl>
              <c:idx val="3"/>
              <c:layout>
                <c:manualLayout>
                  <c:x val="-3.6024746872860142E-2"/>
                  <c:y val="-5.773689151726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1A02-42E2-985E-58995CC3CAB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(2)'!$B$19:$E$19</c:f>
              <c:strCache>
                <c:ptCount val="4"/>
                <c:pt idx="0">
                  <c:v>Ｈ28</c:v>
                </c:pt>
                <c:pt idx="1">
                  <c:v>Ｈ29</c:v>
                </c:pt>
                <c:pt idx="2">
                  <c:v>Ｈ30</c:v>
                </c:pt>
                <c:pt idx="3">
                  <c:v>Ｒ元</c:v>
                </c:pt>
              </c:strCache>
            </c:strRef>
          </c:cat>
          <c:val>
            <c:numRef>
              <c:f>'Sheet2 (2)'!$B$21:$E$21</c:f>
              <c:numCache>
                <c:formatCode>0.0%</c:formatCode>
                <c:ptCount val="4"/>
                <c:pt idx="0">
                  <c:v>0.38900000000000001</c:v>
                </c:pt>
                <c:pt idx="1">
                  <c:v>0.39600000000000002</c:v>
                </c:pt>
                <c:pt idx="2">
                  <c:v>0.40300000000000002</c:v>
                </c:pt>
                <c:pt idx="3">
                  <c:v>0.40699999999999997</c:v>
                </c:pt>
              </c:numCache>
            </c:numRef>
          </c:val>
          <c:smooth val="0"/>
          <c:extLst>
            <c:ext xmlns:c16="http://schemas.microsoft.com/office/drawing/2014/chart" uri="{C3380CC4-5D6E-409C-BE32-E72D297353CC}">
              <c16:uniqueId val="{00000009-1A02-42E2-985E-58995CC3CABB}"/>
            </c:ext>
          </c:extLst>
        </c:ser>
        <c:dLbls>
          <c:showLegendKey val="0"/>
          <c:showVal val="0"/>
          <c:showCatName val="0"/>
          <c:showSerName val="0"/>
          <c:showPercent val="0"/>
          <c:showBubbleSize val="0"/>
        </c:dLbls>
        <c:marker val="1"/>
        <c:smooth val="0"/>
        <c:axId val="730064728"/>
        <c:axId val="730068664"/>
      </c:lineChart>
      <c:catAx>
        <c:axId val="730064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j-ea"/>
                <a:ea typeface="+mj-ea"/>
                <a:cs typeface="+mn-cs"/>
              </a:defRPr>
            </a:pPr>
            <a:endParaRPr lang="ja-JP"/>
          </a:p>
        </c:txPr>
        <c:crossAx val="730068664"/>
        <c:crosses val="autoZero"/>
        <c:auto val="1"/>
        <c:lblAlgn val="ctr"/>
        <c:lblOffset val="100"/>
        <c:noMultiLvlLbl val="0"/>
      </c:catAx>
      <c:valAx>
        <c:axId val="730068664"/>
        <c:scaling>
          <c:orientation val="minMax"/>
          <c:max val="0.45"/>
          <c:min val="0.30000000000000004"/>
        </c:scaling>
        <c:delete val="0"/>
        <c:axPos val="l"/>
        <c:majorGridlines>
          <c:spPr>
            <a:ln w="9525" cap="flat" cmpd="sng" algn="ctr">
              <a:solidFill>
                <a:schemeClr val="bg2"/>
              </a:solidFill>
              <a:round/>
            </a:ln>
            <a:effectLst/>
          </c:spPr>
        </c:majorGridlines>
        <c:minorGridlines>
          <c:spPr>
            <a:ln w="1270" cmpd="sng">
              <a:solidFill>
                <a:schemeClr val="tx1">
                  <a:lumMod val="5000"/>
                  <a:lumOff val="95000"/>
                </a:schemeClr>
              </a:solidFill>
            </a:ln>
            <a:effectLst/>
          </c:spPr>
        </c:minorGridlines>
        <c:numFmt formatCode="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730064728"/>
        <c:crosses val="autoZero"/>
        <c:crossBetween val="between"/>
        <c:majorUnit val="2.0000000000000004E-2"/>
        <c:minorUnit val="2.0000000000000004E-2"/>
      </c:valAx>
      <c:spPr>
        <a:noFill/>
        <a:ln>
          <a:noFill/>
        </a:ln>
        <a:effectLst/>
      </c:spPr>
    </c:plotArea>
    <c:legend>
      <c:legendPos val="t"/>
      <c:layout>
        <c:manualLayout>
          <c:xMode val="edge"/>
          <c:yMode val="edge"/>
          <c:x val="0.1849740187427121"/>
          <c:y val="0.88939132454340741"/>
          <c:w val="0.596891126771259"/>
          <c:h val="7.826140303340810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図６</a:t>
            </a: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１</a:t>
            </a: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令和元年度特定健康診査受診者の有所見状況（男性）</a:t>
            </a:r>
            <a:endParaRPr lang="en-US" altLang="ja-JP" sz="1100" b="1">
              <a:solidFill>
                <a:schemeClr val="tx1"/>
              </a:solidFill>
              <a:latin typeface="ＭＳ ゴシック" panose="020B0609070205080204" pitchFamily="49" charset="-128"/>
              <a:ea typeface="ＭＳ ゴシック" panose="020B0609070205080204" pitchFamily="49" charset="-128"/>
            </a:endParaRPr>
          </a:p>
          <a:p>
            <a:pPr>
              <a:defRPr sz="1100">
                <a:latin typeface="ＭＳ ゴシック" panose="020B0609070205080204" pitchFamily="49" charset="-128"/>
                <a:ea typeface="ＭＳ ゴシック" panose="020B0609070205080204" pitchFamily="49" charset="-128"/>
              </a:defRPr>
            </a:pP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全国を１００とした場合の数値</a:t>
            </a:r>
            <a:r>
              <a:rPr lang="ja-JP" altLang="en-US" sz="1100" b="1">
                <a:latin typeface="ＭＳ ゴシック" panose="020B0609070205080204" pitchFamily="49" charset="-128"/>
                <a:ea typeface="ＭＳ ゴシック" panose="020B0609070205080204" pitchFamily="49" charset="-128"/>
              </a:rPr>
              <a:t>　</a:t>
            </a:r>
          </a:p>
        </c:rich>
      </c:tx>
      <c:layout>
        <c:manualLayout>
          <c:xMode val="edge"/>
          <c:yMode val="edge"/>
          <c:x val="0.11394632122597577"/>
          <c:y val="3.3919658347791273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27889035644737958"/>
          <c:y val="0.20693417560093125"/>
          <c:w val="0.39897976023385123"/>
          <c:h val="0.62863608454043785"/>
        </c:manualLayout>
      </c:layout>
      <c:radarChart>
        <c:radarStyle val="marker"/>
        <c:varyColors val="0"/>
        <c:ser>
          <c:idx val="0"/>
          <c:order val="0"/>
          <c:tx>
            <c:strRef>
              <c:f>Sheet1!$B$1</c:f>
              <c:strCache>
                <c:ptCount val="1"/>
                <c:pt idx="0">
                  <c:v>鶴ヶ島市</c:v>
                </c:pt>
              </c:strCache>
            </c:strRef>
          </c:tx>
          <c:spPr>
            <a:ln w="44450" cap="rnd">
              <a:solidFill>
                <a:schemeClr val="accent1"/>
              </a:solidFill>
              <a:prstDash val="solid"/>
              <a:round/>
            </a:ln>
            <a:effectLst/>
          </c:spPr>
          <c:marker>
            <c:symbol val="none"/>
          </c:marker>
          <c:dLbls>
            <c:dLbl>
              <c:idx val="0"/>
              <c:layout>
                <c:manualLayout>
                  <c:x val="5.8064516129032261E-2"/>
                  <c:y val="1.5065913370998081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3E-4F74-99CC-37A9325D8049}"/>
                </c:ext>
              </c:extLst>
            </c:dLbl>
            <c:dLbl>
              <c:idx val="1"/>
              <c:layout>
                <c:manualLayout>
                  <c:x val="4.3010752688171963E-2"/>
                  <c:y val="6.7796610169491456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3E-4F74-99CC-37A9325D8049}"/>
                </c:ext>
              </c:extLst>
            </c:dLbl>
            <c:dLbl>
              <c:idx val="2"/>
              <c:layout>
                <c:manualLayout>
                  <c:x val="4.086021505376336E-2"/>
                  <c:y val="5.2730696798493411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3E-4F74-99CC-37A9325D8049}"/>
                </c:ext>
              </c:extLst>
            </c:dLbl>
            <c:dLbl>
              <c:idx val="3"/>
              <c:layout>
                <c:manualLayout>
                  <c:x val="1.5053763440860136E-2"/>
                  <c:y val="6.0263653483992326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3E-4F74-99CC-37A9325D8049}"/>
                </c:ext>
              </c:extLst>
            </c:dLbl>
            <c:dLbl>
              <c:idx val="4"/>
              <c:layout>
                <c:manualLayout>
                  <c:x val="-7.8852135688381892E-17"/>
                  <c:y val="4.1431261770244823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93E-4F74-99CC-37A9325D8049}"/>
                </c:ext>
              </c:extLst>
            </c:dLbl>
            <c:dLbl>
              <c:idx val="5"/>
              <c:layout>
                <c:manualLayout>
                  <c:x val="6.4516129032258064E-3"/>
                  <c:y val="7.1563088512241052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93E-4F74-99CC-37A9325D8049}"/>
                </c:ext>
              </c:extLst>
            </c:dLbl>
            <c:dLbl>
              <c:idx val="6"/>
              <c:layout>
                <c:manualLayout>
                  <c:x val="-1.935483870967742E-2"/>
                  <c:y val="6.7796610169491525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93E-4F74-99CC-37A9325D8049}"/>
                </c:ext>
              </c:extLst>
            </c:dLbl>
            <c:dLbl>
              <c:idx val="7"/>
              <c:layout>
                <c:manualLayout>
                  <c:x val="-4.5161290322580643E-2"/>
                  <c:y val="5.6497175141243007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93E-4F74-99CC-37A9325D8049}"/>
                </c:ext>
              </c:extLst>
            </c:dLbl>
            <c:dLbl>
              <c:idx val="8"/>
              <c:layout>
                <c:manualLayout>
                  <c:x val="-4.9462365591397849E-2"/>
                  <c:y val="8.2862523540489605E-2"/>
                </c:manualLayout>
              </c:layout>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3E-4F74-99CC-37A9325D8049}"/>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n-lt"/>
                    <a:ea typeface="+mn-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ＢＭＩ</c:v>
                </c:pt>
                <c:pt idx="1">
                  <c:v>腹囲</c:v>
                </c:pt>
                <c:pt idx="2">
                  <c:v>中性脂肪</c:v>
                </c:pt>
                <c:pt idx="3">
                  <c:v>ＡＬＴ（ＧＰＴ）</c:v>
                </c:pt>
                <c:pt idx="4">
                  <c:v>ＨＤＬコレステロール</c:v>
                </c:pt>
                <c:pt idx="5">
                  <c:v>HbA1c</c:v>
                </c:pt>
                <c:pt idx="6">
                  <c:v>収縮期血圧</c:v>
                </c:pt>
                <c:pt idx="7">
                  <c:v>拡張期血圧</c:v>
                </c:pt>
                <c:pt idx="8">
                  <c:v>ＬＤＬコレステロール</c:v>
                </c:pt>
              </c:strCache>
            </c:strRef>
          </c:cat>
          <c:val>
            <c:numRef>
              <c:f>Sheet1!$B$2:$B$10</c:f>
              <c:numCache>
                <c:formatCode>General</c:formatCode>
                <c:ptCount val="9"/>
                <c:pt idx="0">
                  <c:v>99.8</c:v>
                </c:pt>
                <c:pt idx="1">
                  <c:v>103.2</c:v>
                </c:pt>
                <c:pt idx="2">
                  <c:v>89.1</c:v>
                </c:pt>
                <c:pt idx="3">
                  <c:v>103.9</c:v>
                </c:pt>
                <c:pt idx="4">
                  <c:v>100</c:v>
                </c:pt>
                <c:pt idx="5">
                  <c:v>89.8</c:v>
                </c:pt>
                <c:pt idx="6">
                  <c:v>90.2</c:v>
                </c:pt>
                <c:pt idx="7">
                  <c:v>81.7</c:v>
                </c:pt>
                <c:pt idx="8">
                  <c:v>111.7</c:v>
                </c:pt>
              </c:numCache>
            </c:numRef>
          </c:val>
          <c:extLst>
            <c:ext xmlns:c16="http://schemas.microsoft.com/office/drawing/2014/chart" uri="{C3380CC4-5D6E-409C-BE32-E72D297353CC}">
              <c16:uniqueId val="{00000000-8E5C-4FE9-94F4-40A824908ADF}"/>
            </c:ext>
          </c:extLst>
        </c:ser>
        <c:ser>
          <c:idx val="1"/>
          <c:order val="1"/>
          <c:tx>
            <c:strRef>
              <c:f>Sheet1!$C$1</c:f>
              <c:strCache>
                <c:ptCount val="1"/>
                <c:pt idx="0">
                  <c:v>全国</c:v>
                </c:pt>
              </c:strCache>
            </c:strRef>
          </c:tx>
          <c:spPr>
            <a:ln w="38100" cap="sq">
              <a:solidFill>
                <a:schemeClr val="accent2"/>
              </a:solidFill>
              <a:prstDash val="sysDash"/>
              <a:round/>
            </a:ln>
            <a:effectLst/>
          </c:spPr>
          <c:marker>
            <c:symbol val="none"/>
          </c:marker>
          <c:cat>
            <c:strRef>
              <c:f>Sheet1!$A$2:$A$10</c:f>
              <c:strCache>
                <c:ptCount val="9"/>
                <c:pt idx="0">
                  <c:v>ＢＭＩ</c:v>
                </c:pt>
                <c:pt idx="1">
                  <c:v>腹囲</c:v>
                </c:pt>
                <c:pt idx="2">
                  <c:v>中性脂肪</c:v>
                </c:pt>
                <c:pt idx="3">
                  <c:v>ＡＬＴ（ＧＰＴ）</c:v>
                </c:pt>
                <c:pt idx="4">
                  <c:v>ＨＤＬコレステロール</c:v>
                </c:pt>
                <c:pt idx="5">
                  <c:v>HbA1c</c:v>
                </c:pt>
                <c:pt idx="6">
                  <c:v>収縮期血圧</c:v>
                </c:pt>
                <c:pt idx="7">
                  <c:v>拡張期血圧</c:v>
                </c:pt>
                <c:pt idx="8">
                  <c:v>ＬＤＬコレステロール</c:v>
                </c:pt>
              </c:strCache>
            </c:strRef>
          </c:cat>
          <c:val>
            <c:numRef>
              <c:f>Sheet1!$C$2:$C$10</c:f>
              <c:numCache>
                <c:formatCode>General</c:formatCode>
                <c:ptCount val="9"/>
                <c:pt idx="0">
                  <c:v>100</c:v>
                </c:pt>
                <c:pt idx="1">
                  <c:v>100</c:v>
                </c:pt>
                <c:pt idx="2">
                  <c:v>100</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1-8E5C-4FE9-94F4-40A824908ADF}"/>
            </c:ext>
          </c:extLst>
        </c:ser>
        <c:dLbls>
          <c:showLegendKey val="0"/>
          <c:showVal val="0"/>
          <c:showCatName val="0"/>
          <c:showSerName val="0"/>
          <c:showPercent val="0"/>
          <c:showBubbleSize val="0"/>
        </c:dLbls>
        <c:axId val="455374200"/>
        <c:axId val="455379448"/>
      </c:radarChart>
      <c:catAx>
        <c:axId val="4553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55379448"/>
        <c:crosses val="autoZero"/>
        <c:auto val="1"/>
        <c:lblAlgn val="ctr"/>
        <c:lblOffset val="100"/>
        <c:noMultiLvlLbl val="0"/>
      </c:catAx>
      <c:valAx>
        <c:axId val="45537944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55374200"/>
        <c:crosses val="autoZero"/>
        <c:crossBetween val="between"/>
        <c:majorUnit val="20"/>
      </c:valAx>
      <c:spPr>
        <a:noFill/>
        <a:ln>
          <a:noFill/>
        </a:ln>
        <a:effectLst/>
      </c:spPr>
    </c:plotArea>
    <c:legend>
      <c:legendPos val="r"/>
      <c:layout>
        <c:manualLayout>
          <c:xMode val="edge"/>
          <c:yMode val="edge"/>
          <c:x val="0.58337135742647561"/>
          <c:y val="0.79067218292628672"/>
          <c:w val="0.41394310147029284"/>
          <c:h val="0.20794150731158606"/>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sq" cmpd="sng" algn="ctr">
      <a:solidFill>
        <a:schemeClr val="tx1"/>
      </a:solidFill>
      <a:prstDash val="solid"/>
      <a:bevel/>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図６</a:t>
            </a: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２</a:t>
            </a: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令和元年度特定健康診査受診者の有所見状況（女性）</a:t>
            </a:r>
            <a:endParaRPr lang="en-US" altLang="ja-JP" sz="1100" b="1">
              <a:solidFill>
                <a:schemeClr val="tx1"/>
              </a:solidFill>
              <a:latin typeface="ＭＳ ゴシック" panose="020B0609070205080204" pitchFamily="49" charset="-128"/>
              <a:ea typeface="ＭＳ ゴシック" panose="020B0609070205080204" pitchFamily="49" charset="-128"/>
            </a:endParaRPr>
          </a:p>
          <a:p>
            <a:pPr>
              <a:defRPr sz="1100">
                <a:latin typeface="ＭＳ ゴシック" panose="020B0609070205080204" pitchFamily="49" charset="-128"/>
                <a:ea typeface="ＭＳ ゴシック" panose="020B0609070205080204" pitchFamily="49" charset="-128"/>
              </a:defRPr>
            </a:pPr>
            <a:r>
              <a:rPr lang="en-US" altLang="ja-JP" sz="1100" b="1">
                <a:solidFill>
                  <a:schemeClr val="tx1"/>
                </a:solidFill>
                <a:latin typeface="ＭＳ ゴシック" panose="020B0609070205080204" pitchFamily="49" charset="-128"/>
                <a:ea typeface="ＭＳ ゴシック" panose="020B0609070205080204" pitchFamily="49" charset="-128"/>
              </a:rPr>
              <a:t>※</a:t>
            </a:r>
            <a:r>
              <a:rPr lang="ja-JP" altLang="en-US" sz="1100" b="1">
                <a:solidFill>
                  <a:schemeClr val="tx1"/>
                </a:solidFill>
                <a:latin typeface="ＭＳ ゴシック" panose="020B0609070205080204" pitchFamily="49" charset="-128"/>
                <a:ea typeface="ＭＳ ゴシック" panose="020B0609070205080204" pitchFamily="49" charset="-128"/>
              </a:rPr>
              <a:t>全国を１００とした場合の数値</a:t>
            </a:r>
            <a:endParaRPr lang="en-US" altLang="ja-JP" sz="1100" b="1">
              <a:solidFill>
                <a:schemeClr val="tx1"/>
              </a:solidFill>
              <a:latin typeface="ＭＳ ゴシック" panose="020B0609070205080204" pitchFamily="49" charset="-128"/>
              <a:ea typeface="ＭＳ ゴシック" panose="020B0609070205080204" pitchFamily="49" charset="-128"/>
            </a:endParaRPr>
          </a:p>
        </c:rich>
      </c:tx>
      <c:layout>
        <c:manualLayout>
          <c:xMode val="edge"/>
          <c:yMode val="edge"/>
          <c:x val="0.13675140226760996"/>
          <c:y val="3.8605930226891398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ＭＳ ゴシック" panose="020B0609070205080204" pitchFamily="49" charset="-128"/>
              <a:ea typeface="ＭＳ ゴシック" panose="020B0609070205080204" pitchFamily="49" charset="-128"/>
              <a:cs typeface="+mn-cs"/>
            </a:defRPr>
          </a:pPr>
          <a:endParaRPr lang="ja-JP"/>
        </a:p>
      </c:txPr>
    </c:title>
    <c:autoTitleDeleted val="0"/>
    <c:plotArea>
      <c:layout>
        <c:manualLayout>
          <c:layoutTarget val="inner"/>
          <c:xMode val="edge"/>
          <c:yMode val="edge"/>
          <c:x val="0.31086207815393635"/>
          <c:y val="0.23984544372271768"/>
          <c:w val="0.3705109117071026"/>
          <c:h val="0.61954928047787128"/>
        </c:manualLayout>
      </c:layout>
      <c:radarChart>
        <c:radarStyle val="marker"/>
        <c:varyColors val="0"/>
        <c:ser>
          <c:idx val="0"/>
          <c:order val="0"/>
          <c:tx>
            <c:strRef>
              <c:f>Sheet1!$B$1</c:f>
              <c:strCache>
                <c:ptCount val="1"/>
                <c:pt idx="0">
                  <c:v>鶴ヶ島市</c:v>
                </c:pt>
              </c:strCache>
            </c:strRef>
          </c:tx>
          <c:spPr>
            <a:ln w="44450" cap="rnd">
              <a:solidFill>
                <a:srgbClr val="FF0000"/>
              </a:solidFill>
              <a:prstDash val="solid"/>
              <a:round/>
            </a:ln>
            <a:effectLst/>
          </c:spPr>
          <c:marker>
            <c:symbol val="none"/>
          </c:marker>
          <c:dLbls>
            <c:dLbl>
              <c:idx val="0"/>
              <c:layout>
                <c:manualLayout>
                  <c:x val="6.5566835871404397E-2"/>
                  <c:y val="-1.4146772767462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A39-4CFF-89C9-485F0B5C793D}"/>
                </c:ext>
              </c:extLst>
            </c:dLbl>
            <c:dLbl>
              <c:idx val="1"/>
              <c:layout>
                <c:manualLayout>
                  <c:x val="5.2876480541455086E-2"/>
                  <c:y val="6.36604774535809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A39-4CFF-89C9-485F0B5C793D}"/>
                </c:ext>
              </c:extLst>
            </c:dLbl>
            <c:dLbl>
              <c:idx val="2"/>
              <c:layout>
                <c:manualLayout>
                  <c:x val="7.1912013536379021E-2"/>
                  <c:y val="6.0123784261715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A39-4CFF-89C9-485F0B5C793D}"/>
                </c:ext>
              </c:extLst>
            </c:dLbl>
            <c:dLbl>
              <c:idx val="3"/>
              <c:layout>
                <c:manualLayout>
                  <c:x val="2.115059221658214E-2"/>
                  <c:y val="6.0123784261715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A39-4CFF-89C9-485F0B5C793D}"/>
                </c:ext>
              </c:extLst>
            </c:dLbl>
            <c:dLbl>
              <c:idx val="4"/>
              <c:layout>
                <c:manualLayout>
                  <c:x val="1.903553299492378E-2"/>
                  <c:y val="0.1379310344827586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A39-4CFF-89C9-485F0B5C793D}"/>
                </c:ext>
              </c:extLst>
            </c:dLbl>
            <c:dLbl>
              <c:idx val="5"/>
              <c:layout>
                <c:manualLayout>
                  <c:x val="-1.6920473773265651E-2"/>
                  <c:y val="8.13439434129089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A39-4CFF-89C9-485F0B5C793D}"/>
                </c:ext>
              </c:extLst>
            </c:dLbl>
            <c:dLbl>
              <c:idx val="6"/>
              <c:layout>
                <c:manualLayout>
                  <c:x val="-1.2690355329949238E-2"/>
                  <c:y val="6.71971706454463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A39-4CFF-89C9-485F0B5C793D}"/>
                </c:ext>
              </c:extLst>
            </c:dLbl>
            <c:dLbl>
              <c:idx val="7"/>
              <c:layout>
                <c:manualLayout>
                  <c:x val="-3.8071065989847719E-2"/>
                  <c:y val="6.36604774535808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A39-4CFF-89C9-485F0B5C793D}"/>
                </c:ext>
              </c:extLst>
            </c:dLbl>
            <c:dLbl>
              <c:idx val="8"/>
              <c:layout>
                <c:manualLayout>
                  <c:x val="-4.8646362098138746E-2"/>
                  <c:y val="4.59770114942528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2A39-4CFF-89C9-485F0B5C793D}"/>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tx1">
                        <a:lumMod val="75000"/>
                        <a:lumOff val="25000"/>
                      </a:schemeClr>
                    </a:solidFill>
                    <a:latin typeface="+mj-ea"/>
                    <a:ea typeface="+mj-ea"/>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ＢＭＩ</c:v>
                </c:pt>
                <c:pt idx="1">
                  <c:v>腹囲</c:v>
                </c:pt>
                <c:pt idx="2">
                  <c:v>中性脂肪</c:v>
                </c:pt>
                <c:pt idx="3">
                  <c:v>ＡＬＴ（ＧＰＴ）</c:v>
                </c:pt>
                <c:pt idx="4">
                  <c:v>ＨＤＬコレステロール</c:v>
                </c:pt>
                <c:pt idx="5">
                  <c:v>HbA1c</c:v>
                </c:pt>
                <c:pt idx="6">
                  <c:v>収縮期血圧</c:v>
                </c:pt>
                <c:pt idx="7">
                  <c:v>拡張期血圧</c:v>
                </c:pt>
                <c:pt idx="8">
                  <c:v>ＬＤＬコレステロール</c:v>
                </c:pt>
              </c:strCache>
            </c:strRef>
          </c:cat>
          <c:val>
            <c:numRef>
              <c:f>Sheet1!$B$2:$B$10</c:f>
              <c:numCache>
                <c:formatCode>General</c:formatCode>
                <c:ptCount val="9"/>
                <c:pt idx="0">
                  <c:v>98.9</c:v>
                </c:pt>
                <c:pt idx="1">
                  <c:v>101.4</c:v>
                </c:pt>
                <c:pt idx="2">
                  <c:v>83.7</c:v>
                </c:pt>
                <c:pt idx="3">
                  <c:v>102.9</c:v>
                </c:pt>
                <c:pt idx="4">
                  <c:v>63.1</c:v>
                </c:pt>
                <c:pt idx="5">
                  <c:v>88.5</c:v>
                </c:pt>
                <c:pt idx="6">
                  <c:v>94.5</c:v>
                </c:pt>
                <c:pt idx="7">
                  <c:v>93.4</c:v>
                </c:pt>
                <c:pt idx="8">
                  <c:v>102</c:v>
                </c:pt>
              </c:numCache>
            </c:numRef>
          </c:val>
          <c:extLst>
            <c:ext xmlns:c16="http://schemas.microsoft.com/office/drawing/2014/chart" uri="{C3380CC4-5D6E-409C-BE32-E72D297353CC}">
              <c16:uniqueId val="{00000009-2A39-4CFF-89C9-485F0B5C793D}"/>
            </c:ext>
          </c:extLst>
        </c:ser>
        <c:ser>
          <c:idx val="1"/>
          <c:order val="1"/>
          <c:tx>
            <c:strRef>
              <c:f>Sheet1!$C$1</c:f>
              <c:strCache>
                <c:ptCount val="1"/>
                <c:pt idx="0">
                  <c:v>全国</c:v>
                </c:pt>
              </c:strCache>
            </c:strRef>
          </c:tx>
          <c:spPr>
            <a:ln w="38100" cap="sq">
              <a:solidFill>
                <a:srgbClr val="00B050"/>
              </a:solidFill>
              <a:prstDash val="sysDash"/>
              <a:round/>
            </a:ln>
            <a:effectLst/>
          </c:spPr>
          <c:marker>
            <c:symbol val="none"/>
          </c:marker>
          <c:cat>
            <c:strRef>
              <c:f>Sheet1!$A$2:$A$10</c:f>
              <c:strCache>
                <c:ptCount val="9"/>
                <c:pt idx="0">
                  <c:v>ＢＭＩ</c:v>
                </c:pt>
                <c:pt idx="1">
                  <c:v>腹囲</c:v>
                </c:pt>
                <c:pt idx="2">
                  <c:v>中性脂肪</c:v>
                </c:pt>
                <c:pt idx="3">
                  <c:v>ＡＬＴ（ＧＰＴ）</c:v>
                </c:pt>
                <c:pt idx="4">
                  <c:v>ＨＤＬコレステロール</c:v>
                </c:pt>
                <c:pt idx="5">
                  <c:v>HbA1c</c:v>
                </c:pt>
                <c:pt idx="6">
                  <c:v>収縮期血圧</c:v>
                </c:pt>
                <c:pt idx="7">
                  <c:v>拡張期血圧</c:v>
                </c:pt>
                <c:pt idx="8">
                  <c:v>ＬＤＬコレステロール</c:v>
                </c:pt>
              </c:strCache>
            </c:strRef>
          </c:cat>
          <c:val>
            <c:numRef>
              <c:f>Sheet1!$C$2:$C$10</c:f>
              <c:numCache>
                <c:formatCode>General</c:formatCode>
                <c:ptCount val="9"/>
                <c:pt idx="0">
                  <c:v>100</c:v>
                </c:pt>
                <c:pt idx="1">
                  <c:v>100</c:v>
                </c:pt>
                <c:pt idx="2">
                  <c:v>100</c:v>
                </c:pt>
                <c:pt idx="3">
                  <c:v>100</c:v>
                </c:pt>
                <c:pt idx="4">
                  <c:v>100</c:v>
                </c:pt>
                <c:pt idx="5">
                  <c:v>100</c:v>
                </c:pt>
                <c:pt idx="6">
                  <c:v>100</c:v>
                </c:pt>
                <c:pt idx="7">
                  <c:v>100</c:v>
                </c:pt>
                <c:pt idx="8">
                  <c:v>100</c:v>
                </c:pt>
              </c:numCache>
            </c:numRef>
          </c:val>
          <c:extLst>
            <c:ext xmlns:c16="http://schemas.microsoft.com/office/drawing/2014/chart" uri="{C3380CC4-5D6E-409C-BE32-E72D297353CC}">
              <c16:uniqueId val="{0000000A-2A39-4CFF-89C9-485F0B5C793D}"/>
            </c:ext>
          </c:extLst>
        </c:ser>
        <c:dLbls>
          <c:showLegendKey val="0"/>
          <c:showVal val="0"/>
          <c:showCatName val="0"/>
          <c:showSerName val="0"/>
          <c:showPercent val="0"/>
          <c:showBubbleSize val="0"/>
        </c:dLbls>
        <c:axId val="455374200"/>
        <c:axId val="455379448"/>
      </c:radarChart>
      <c:catAx>
        <c:axId val="455374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55379448"/>
        <c:crosses val="autoZero"/>
        <c:auto val="1"/>
        <c:lblAlgn val="ctr"/>
        <c:lblOffset val="100"/>
        <c:noMultiLvlLbl val="0"/>
      </c:catAx>
      <c:valAx>
        <c:axId val="455379448"/>
        <c:scaling>
          <c:orientation val="minMax"/>
        </c:scaling>
        <c:delete val="0"/>
        <c:axPos val="l"/>
        <c:majorGridlines>
          <c:spPr>
            <a:ln w="9525" cap="flat" cmpd="sng" algn="ctr">
              <a:solidFill>
                <a:schemeClr val="tx1"/>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crossAx val="455374200"/>
        <c:crosses val="autoZero"/>
        <c:crossBetween val="between"/>
        <c:majorUnit val="20"/>
      </c:valAx>
      <c:spPr>
        <a:noFill/>
        <a:ln>
          <a:noFill/>
        </a:ln>
        <a:effectLst/>
      </c:spPr>
    </c:plotArea>
    <c:legend>
      <c:legendPos val="r"/>
      <c:layout>
        <c:manualLayout>
          <c:xMode val="edge"/>
          <c:yMode val="edge"/>
          <c:x val="0.61086345836163458"/>
          <c:y val="0.80937557871579047"/>
          <c:w val="0.38702569380604068"/>
          <c:h val="0.18755880355211194"/>
        </c:manualLayout>
      </c:layout>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sq" cmpd="sng" algn="ctr">
      <a:solidFill>
        <a:schemeClr val="tx1"/>
      </a:solidFill>
      <a:prstDash val="solid"/>
      <a:bevel/>
    </a:ln>
    <a:effectLst/>
  </c:spPr>
  <c:txPr>
    <a:bodyPr/>
    <a:lstStyle/>
    <a:p>
      <a:pPr>
        <a:defRPr/>
      </a:pPr>
      <a:endParaRPr lang="ja-JP"/>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r>
              <a:rPr lang="en-US" altLang="ja-JP" sz="1400" b="0">
                <a:solidFill>
                  <a:schemeClr val="tx1"/>
                </a:solidFill>
                <a:latin typeface="ＭＳ ゴシック" panose="020B0609070205080204" pitchFamily="49" charset="-128"/>
                <a:ea typeface="ＭＳ ゴシック" panose="020B0609070205080204" pitchFamily="49" charset="-128"/>
              </a:rPr>
              <a:t>【</a:t>
            </a:r>
            <a:r>
              <a:rPr lang="ja-JP" altLang="en-US" sz="1400" b="0">
                <a:solidFill>
                  <a:schemeClr val="tx1"/>
                </a:solidFill>
                <a:latin typeface="ＭＳ ゴシック" panose="020B0609070205080204" pitchFamily="49" charset="-128"/>
                <a:ea typeface="ＭＳ ゴシック" panose="020B0609070205080204" pitchFamily="49" charset="-128"/>
              </a:rPr>
              <a:t>図７</a:t>
            </a:r>
            <a:r>
              <a:rPr lang="en-US" altLang="ja-JP" sz="1400" b="0">
                <a:solidFill>
                  <a:schemeClr val="tx1"/>
                </a:solidFill>
                <a:latin typeface="ＭＳ ゴシック" panose="020B0609070205080204" pitchFamily="49" charset="-128"/>
                <a:ea typeface="ＭＳ ゴシック" panose="020B0609070205080204" pitchFamily="49" charset="-128"/>
              </a:rPr>
              <a:t>】</a:t>
            </a:r>
            <a:r>
              <a:rPr lang="ja-JP" sz="1400" b="0">
                <a:solidFill>
                  <a:schemeClr val="tx1"/>
                </a:solidFill>
                <a:latin typeface="ＭＳ ゴシック" panose="020B0609070205080204" pitchFamily="49" charset="-128"/>
                <a:ea typeface="ＭＳ ゴシック" panose="020B0609070205080204" pitchFamily="49" charset="-128"/>
              </a:rPr>
              <a:t>特定保健指導実施率</a:t>
            </a:r>
            <a:r>
              <a:rPr lang="ja-JP" altLang="en-US" sz="1400" b="0">
                <a:solidFill>
                  <a:schemeClr val="tx1"/>
                </a:solidFill>
                <a:latin typeface="ＭＳ ゴシック" panose="020B0609070205080204" pitchFamily="49" charset="-128"/>
                <a:ea typeface="ＭＳ ゴシック" panose="020B0609070205080204" pitchFamily="49" charset="-128"/>
              </a:rPr>
              <a:t>の推移</a:t>
            </a:r>
            <a:endParaRPr lang="ja-JP" sz="1400" b="0">
              <a:solidFill>
                <a:schemeClr val="tx1"/>
              </a:solidFill>
              <a:latin typeface="ＭＳ ゴシック" panose="020B0609070205080204" pitchFamily="49" charset="-128"/>
              <a:ea typeface="ＭＳ ゴシック" panose="020B0609070205080204" pitchFamily="49" charset="-128"/>
            </a:endParaRPr>
          </a:p>
        </c:rich>
      </c:tx>
      <c:overlay val="0"/>
      <c:spPr>
        <a:noFill/>
        <a:ln>
          <a:noFill/>
        </a:ln>
        <a:effectLst/>
      </c:spPr>
      <c:txPr>
        <a:bodyPr rot="0" spcFirstLastPara="1" vertOverflow="ellipsis" vert="horz" wrap="square" anchor="ctr" anchorCtr="1"/>
        <a:lstStyle/>
        <a:p>
          <a:pPr>
            <a:defRPr sz="1600" b="0"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manualLayout>
          <c:layoutTarget val="inner"/>
          <c:xMode val="edge"/>
          <c:yMode val="edge"/>
          <c:x val="9.7195219324469062E-2"/>
          <c:y val="0.17517951861803505"/>
          <c:w val="0.87738374731252633"/>
          <c:h val="0.57340899089826425"/>
        </c:manualLayout>
      </c:layout>
      <c:lineChart>
        <c:grouping val="standard"/>
        <c:varyColors val="0"/>
        <c:ser>
          <c:idx val="0"/>
          <c:order val="0"/>
          <c:tx>
            <c:strRef>
              <c:f>'Sheet2 (2)'!$J$20</c:f>
              <c:strCache>
                <c:ptCount val="1"/>
                <c:pt idx="0">
                  <c:v>鶴ヶ島市</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4.4976213318900081E-2"/>
                  <c:y val="7.524778701981506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24-4730-9C6D-1A6307478877}"/>
                </c:ext>
              </c:extLst>
            </c:dLbl>
            <c:dLbl>
              <c:idx val="1"/>
              <c:layout>
                <c:manualLayout>
                  <c:x val="-5.0060419991500966E-2"/>
                  <c:y val="6.613097626685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924-4730-9C6D-1A6307478877}"/>
                </c:ext>
              </c:extLst>
            </c:dLbl>
            <c:dLbl>
              <c:idx val="2"/>
              <c:layout>
                <c:manualLayout>
                  <c:x val="-4.2434109982599603E-2"/>
                  <c:y val="7.06893816433374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924-4730-9C6D-1A6307478877}"/>
                </c:ext>
              </c:extLst>
            </c:dLbl>
            <c:dLbl>
              <c:idx val="3"/>
              <c:layout>
                <c:manualLayout>
                  <c:x val="-6.5313040009303602E-2"/>
                  <c:y val="6.6130976266859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924-4730-9C6D-1A630747887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(2)'!$K$18:$N$19</c:f>
              <c:strCache>
                <c:ptCount val="4"/>
                <c:pt idx="0">
                  <c:v>Ｈ28</c:v>
                </c:pt>
                <c:pt idx="1">
                  <c:v>Ｈ29</c:v>
                </c:pt>
                <c:pt idx="2">
                  <c:v>Ｈ30</c:v>
                </c:pt>
                <c:pt idx="3">
                  <c:v>Ｒ元</c:v>
                </c:pt>
              </c:strCache>
            </c:strRef>
          </c:cat>
          <c:val>
            <c:numRef>
              <c:f>'Sheet2 (2)'!$K$20:$N$20</c:f>
              <c:numCache>
                <c:formatCode>0.0%</c:formatCode>
                <c:ptCount val="4"/>
                <c:pt idx="0">
                  <c:v>0.13600000000000001</c:v>
                </c:pt>
                <c:pt idx="1">
                  <c:v>0.14299999999999999</c:v>
                </c:pt>
                <c:pt idx="2">
                  <c:v>0.17299999999999999</c:v>
                </c:pt>
                <c:pt idx="3">
                  <c:v>0.17</c:v>
                </c:pt>
              </c:numCache>
            </c:numRef>
          </c:val>
          <c:smooth val="0"/>
          <c:extLst>
            <c:ext xmlns:c16="http://schemas.microsoft.com/office/drawing/2014/chart" uri="{C3380CC4-5D6E-409C-BE32-E72D297353CC}">
              <c16:uniqueId val="{00000004-D924-4730-9C6D-1A6307478877}"/>
            </c:ext>
          </c:extLst>
        </c:ser>
        <c:ser>
          <c:idx val="1"/>
          <c:order val="1"/>
          <c:tx>
            <c:strRef>
              <c:f>'Sheet2 (2)'!$J$21</c:f>
              <c:strCache>
                <c:ptCount val="1"/>
                <c:pt idx="0">
                  <c:v>埼玉県</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j-ea"/>
                    <a:ea typeface="+mj-ea"/>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 (2)'!$K$18:$N$19</c:f>
              <c:strCache>
                <c:ptCount val="4"/>
                <c:pt idx="0">
                  <c:v>Ｈ28</c:v>
                </c:pt>
                <c:pt idx="1">
                  <c:v>Ｈ29</c:v>
                </c:pt>
                <c:pt idx="2">
                  <c:v>Ｈ30</c:v>
                </c:pt>
                <c:pt idx="3">
                  <c:v>Ｒ元</c:v>
                </c:pt>
              </c:strCache>
            </c:strRef>
          </c:cat>
          <c:val>
            <c:numRef>
              <c:f>'Sheet2 (2)'!$K$21:$N$21</c:f>
              <c:numCache>
                <c:formatCode>0.0%</c:formatCode>
                <c:ptCount val="4"/>
                <c:pt idx="0">
                  <c:v>0.17899999999999999</c:v>
                </c:pt>
                <c:pt idx="1">
                  <c:v>0.17599999999999999</c:v>
                </c:pt>
                <c:pt idx="2">
                  <c:v>0.2</c:v>
                </c:pt>
                <c:pt idx="3">
                  <c:v>0.19800000000000001</c:v>
                </c:pt>
              </c:numCache>
            </c:numRef>
          </c:val>
          <c:smooth val="0"/>
          <c:extLst>
            <c:ext xmlns:c16="http://schemas.microsoft.com/office/drawing/2014/chart" uri="{C3380CC4-5D6E-409C-BE32-E72D297353CC}">
              <c16:uniqueId val="{00000005-D924-4730-9C6D-1A6307478877}"/>
            </c:ext>
          </c:extLst>
        </c:ser>
        <c:dLbls>
          <c:dLblPos val="t"/>
          <c:showLegendKey val="0"/>
          <c:showVal val="1"/>
          <c:showCatName val="0"/>
          <c:showSerName val="0"/>
          <c:showPercent val="0"/>
          <c:showBubbleSize val="0"/>
        </c:dLbls>
        <c:marker val="1"/>
        <c:smooth val="0"/>
        <c:axId val="337887824"/>
        <c:axId val="337888480"/>
      </c:lineChart>
      <c:catAx>
        <c:axId val="337887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337888480"/>
        <c:crosses val="autoZero"/>
        <c:auto val="1"/>
        <c:lblAlgn val="ctr"/>
        <c:lblOffset val="100"/>
        <c:noMultiLvlLbl val="0"/>
      </c:catAx>
      <c:valAx>
        <c:axId val="337888480"/>
        <c:scaling>
          <c:orientation val="minMax"/>
          <c:max val="0.35000000000000003"/>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crossAx val="337887824"/>
        <c:crosses val="autoZero"/>
        <c:crossBetween val="between"/>
      </c:valAx>
      <c:spPr>
        <a:noFill/>
        <a:ln>
          <a:noFill/>
        </a:ln>
        <a:effectLst/>
      </c:spPr>
    </c:plotArea>
    <c:legend>
      <c:legendPos val="t"/>
      <c:layout>
        <c:manualLayout>
          <c:xMode val="edge"/>
          <c:yMode val="edge"/>
          <c:x val="0.23562115294194416"/>
          <c:y val="0.86962996516229718"/>
          <c:w val="0.54909432064089825"/>
          <c:h val="7.692362912239571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j-ea"/>
              <a:ea typeface="+mj-ea"/>
              <a:cs typeface="+mn-cs"/>
            </a:defRPr>
          </a:pPr>
          <a:endParaRPr lang="ja-JP"/>
        </a:p>
      </c:txPr>
    </c:legend>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AB4DE3-D318-48A2-8F8C-D5781FC8CB82}"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kumimoji="1" lang="ja-JP" altLang="en-US"/>
        </a:p>
      </dgm:t>
    </dgm:pt>
    <dgm:pt modelId="{30FC2258-FE3D-4A29-B838-6D5C86F7AC27}">
      <dgm:prSet phldrT="[テキスト]" custT="1"/>
      <dgm:spPr/>
      <dgm:t>
        <a:bodyPr/>
        <a:lstStyle/>
        <a:p>
          <a:r>
            <a:rPr kumimoji="1" lang="en-US" altLang="ja-JP" sz="1000"/>
            <a:t>Plan</a:t>
          </a:r>
        </a:p>
        <a:p>
          <a:r>
            <a:rPr kumimoji="1" lang="ja-JP" altLang="en-US" sz="800"/>
            <a:t>（計画）</a:t>
          </a:r>
        </a:p>
      </dgm:t>
    </dgm:pt>
    <dgm:pt modelId="{7D2710D3-AEC1-4D2C-9485-BE71D629C056}" type="parTrans" cxnId="{2FD5FA7C-4644-479F-8F1A-A60378CAF9FB}">
      <dgm:prSet/>
      <dgm:spPr/>
      <dgm:t>
        <a:bodyPr/>
        <a:lstStyle/>
        <a:p>
          <a:endParaRPr kumimoji="1" lang="ja-JP" altLang="en-US"/>
        </a:p>
      </dgm:t>
    </dgm:pt>
    <dgm:pt modelId="{E7D25FD4-D856-4878-BAC4-238BF80A845E}" type="sibTrans" cxnId="{2FD5FA7C-4644-479F-8F1A-A60378CAF9FB}">
      <dgm:prSet/>
      <dgm:spPr/>
      <dgm:t>
        <a:bodyPr/>
        <a:lstStyle/>
        <a:p>
          <a:endParaRPr kumimoji="1" lang="ja-JP" altLang="en-US"/>
        </a:p>
      </dgm:t>
    </dgm:pt>
    <dgm:pt modelId="{E8EC46E4-7BFF-43F5-A418-704C408E2F94}">
      <dgm:prSet phldrT="[テキスト]" custT="1"/>
      <dgm:spPr/>
      <dgm:t>
        <a:bodyPr/>
        <a:lstStyle/>
        <a:p>
          <a:r>
            <a:rPr kumimoji="1" lang="ja-JP" altLang="en-US" sz="1050">
              <a:latin typeface="+mj-ea"/>
              <a:ea typeface="+mj-ea"/>
            </a:rPr>
            <a:t>データ分析に基づく　　事業の立案</a:t>
          </a:r>
        </a:p>
      </dgm:t>
    </dgm:pt>
    <dgm:pt modelId="{7512AD9B-DCC7-4839-875A-33A7752E72D2}" type="parTrans" cxnId="{C6A223EA-6142-47AC-82BA-9890EA056FB4}">
      <dgm:prSet/>
      <dgm:spPr/>
      <dgm:t>
        <a:bodyPr/>
        <a:lstStyle/>
        <a:p>
          <a:endParaRPr kumimoji="1" lang="ja-JP" altLang="en-US"/>
        </a:p>
      </dgm:t>
    </dgm:pt>
    <dgm:pt modelId="{A8D44E8A-FF16-4620-B58E-9139C3D32398}" type="sibTrans" cxnId="{C6A223EA-6142-47AC-82BA-9890EA056FB4}">
      <dgm:prSet/>
      <dgm:spPr/>
      <dgm:t>
        <a:bodyPr/>
        <a:lstStyle/>
        <a:p>
          <a:endParaRPr kumimoji="1" lang="ja-JP" altLang="en-US"/>
        </a:p>
      </dgm:t>
    </dgm:pt>
    <dgm:pt modelId="{AF8B5724-EE29-4CCE-BA6F-29DF8895CD9E}">
      <dgm:prSet phldrT="[テキスト]" custT="1"/>
      <dgm:spPr/>
      <dgm:t>
        <a:bodyPr/>
        <a:lstStyle/>
        <a:p>
          <a:r>
            <a:rPr kumimoji="1" lang="en-US" altLang="ja-JP" sz="900"/>
            <a:t>Do</a:t>
          </a:r>
        </a:p>
        <a:p>
          <a:r>
            <a:rPr kumimoji="1" lang="ja-JP" altLang="en-US" sz="900"/>
            <a:t>（</a:t>
          </a:r>
          <a:r>
            <a:rPr kumimoji="1" lang="ja-JP" altLang="en-US" sz="800"/>
            <a:t>実施）</a:t>
          </a:r>
        </a:p>
      </dgm:t>
    </dgm:pt>
    <dgm:pt modelId="{B64BBE8E-95DB-4E3B-9144-642C30B3ABA0}" type="parTrans" cxnId="{B90B17A5-E95C-4E7C-B8E4-962CF2923702}">
      <dgm:prSet/>
      <dgm:spPr/>
      <dgm:t>
        <a:bodyPr/>
        <a:lstStyle/>
        <a:p>
          <a:endParaRPr kumimoji="1" lang="ja-JP" altLang="en-US"/>
        </a:p>
      </dgm:t>
    </dgm:pt>
    <dgm:pt modelId="{FBA5165D-EC3F-4917-9851-8496F1763D48}" type="sibTrans" cxnId="{B90B17A5-E95C-4E7C-B8E4-962CF2923702}">
      <dgm:prSet/>
      <dgm:spPr/>
      <dgm:t>
        <a:bodyPr/>
        <a:lstStyle/>
        <a:p>
          <a:endParaRPr kumimoji="1" lang="ja-JP" altLang="en-US"/>
        </a:p>
      </dgm:t>
    </dgm:pt>
    <dgm:pt modelId="{E629054C-9A4A-4188-9814-327A56E01D00}">
      <dgm:prSet phldrT="[テキスト]" custT="1"/>
      <dgm:spPr/>
      <dgm:t>
        <a:bodyPr/>
        <a:lstStyle/>
        <a:p>
          <a:r>
            <a:rPr kumimoji="1" lang="en-US" altLang="ja-JP" sz="800"/>
            <a:t>Check</a:t>
          </a:r>
        </a:p>
        <a:p>
          <a:r>
            <a:rPr kumimoji="1" lang="en-US" altLang="ja-JP" sz="800"/>
            <a:t>(</a:t>
          </a:r>
          <a:r>
            <a:rPr kumimoji="1" lang="ja-JP" altLang="en-US" sz="800"/>
            <a:t>評価）</a:t>
          </a:r>
        </a:p>
      </dgm:t>
    </dgm:pt>
    <dgm:pt modelId="{82FBE26F-2FFE-49D7-BB60-A5FA3E1BDF61}" type="parTrans" cxnId="{28D6B66B-FC0E-4369-AE3A-BC5E32A2DC8F}">
      <dgm:prSet/>
      <dgm:spPr/>
      <dgm:t>
        <a:bodyPr/>
        <a:lstStyle/>
        <a:p>
          <a:endParaRPr kumimoji="1" lang="ja-JP" altLang="en-US"/>
        </a:p>
      </dgm:t>
    </dgm:pt>
    <dgm:pt modelId="{D4F6A741-430A-4322-83D1-4BAE03B1768F}" type="sibTrans" cxnId="{28D6B66B-FC0E-4369-AE3A-BC5E32A2DC8F}">
      <dgm:prSet/>
      <dgm:spPr/>
      <dgm:t>
        <a:bodyPr/>
        <a:lstStyle/>
        <a:p>
          <a:endParaRPr kumimoji="1" lang="ja-JP" altLang="en-US"/>
        </a:p>
      </dgm:t>
    </dgm:pt>
    <dgm:pt modelId="{733E488C-F956-4463-BF76-5CACB4C80541}">
      <dgm:prSet phldrT="[テキスト]" custT="1"/>
      <dgm:spPr/>
      <dgm:t>
        <a:bodyPr/>
        <a:lstStyle/>
        <a:p>
          <a:r>
            <a:rPr kumimoji="1" lang="ja-JP" altLang="en-US" sz="1050">
              <a:latin typeface="+mj-ea"/>
              <a:ea typeface="+mj-ea"/>
            </a:rPr>
            <a:t>データ分析に基づく効果測定・評価</a:t>
          </a:r>
        </a:p>
      </dgm:t>
    </dgm:pt>
    <dgm:pt modelId="{CFCB22AC-DCEC-45D8-A585-A402F92D427C}" type="parTrans" cxnId="{FFBEBB6D-928E-4F7E-812C-18E86D3DB1BD}">
      <dgm:prSet/>
      <dgm:spPr/>
      <dgm:t>
        <a:bodyPr/>
        <a:lstStyle/>
        <a:p>
          <a:endParaRPr kumimoji="1" lang="ja-JP" altLang="en-US"/>
        </a:p>
      </dgm:t>
    </dgm:pt>
    <dgm:pt modelId="{72B29B3F-E7D3-4C70-BACC-B74CEFD1C3AC}" type="sibTrans" cxnId="{FFBEBB6D-928E-4F7E-812C-18E86D3DB1BD}">
      <dgm:prSet/>
      <dgm:spPr/>
      <dgm:t>
        <a:bodyPr/>
        <a:lstStyle/>
        <a:p>
          <a:endParaRPr kumimoji="1" lang="ja-JP" altLang="en-US"/>
        </a:p>
      </dgm:t>
    </dgm:pt>
    <dgm:pt modelId="{86F1B4E3-F172-4046-9F83-5F17D2B35951}">
      <dgm:prSet phldrT="[テキスト]" custT="1"/>
      <dgm:spPr/>
      <dgm:t>
        <a:bodyPr/>
        <a:lstStyle/>
        <a:p>
          <a:r>
            <a:rPr kumimoji="1" lang="en-US" altLang="ja-JP" sz="1000"/>
            <a:t>Act</a:t>
          </a:r>
        </a:p>
        <a:p>
          <a:r>
            <a:rPr kumimoji="1" lang="ja-JP" altLang="en-US" sz="800"/>
            <a:t>（改善）</a:t>
          </a:r>
        </a:p>
      </dgm:t>
    </dgm:pt>
    <dgm:pt modelId="{15780125-B719-4E5A-8E31-0FE109D09D41}" type="parTrans" cxnId="{6906E35E-57B0-414E-AE4B-F77577D463E9}">
      <dgm:prSet/>
      <dgm:spPr/>
      <dgm:t>
        <a:bodyPr/>
        <a:lstStyle/>
        <a:p>
          <a:endParaRPr kumimoji="1" lang="ja-JP" altLang="en-US"/>
        </a:p>
      </dgm:t>
    </dgm:pt>
    <dgm:pt modelId="{FA1E447C-9FF5-4840-8B83-3D799884E060}" type="sibTrans" cxnId="{6906E35E-57B0-414E-AE4B-F77577D463E9}">
      <dgm:prSet/>
      <dgm:spPr/>
      <dgm:t>
        <a:bodyPr/>
        <a:lstStyle/>
        <a:p>
          <a:endParaRPr kumimoji="1" lang="ja-JP" altLang="en-US"/>
        </a:p>
      </dgm:t>
    </dgm:pt>
    <dgm:pt modelId="{49B47A95-836E-4F80-9FC7-FF3EBCC061FB}">
      <dgm:prSet phldrT="[テキスト]" custT="1"/>
      <dgm:spPr/>
      <dgm:t>
        <a:bodyPr/>
        <a:lstStyle/>
        <a:p>
          <a:r>
            <a:rPr kumimoji="1" lang="ja-JP" altLang="en-US" sz="1050">
              <a:latin typeface="+mj-ea"/>
              <a:ea typeface="+mj-ea"/>
            </a:rPr>
            <a:t>次サイクルに向けて修正</a:t>
          </a:r>
        </a:p>
      </dgm:t>
    </dgm:pt>
    <dgm:pt modelId="{302B9D14-E97A-4050-9B20-5A92EB7A29FC}" type="parTrans" cxnId="{C80ED9EE-5E49-4778-9F51-906DDEAC84E5}">
      <dgm:prSet/>
      <dgm:spPr/>
      <dgm:t>
        <a:bodyPr/>
        <a:lstStyle/>
        <a:p>
          <a:endParaRPr kumimoji="1" lang="ja-JP" altLang="en-US"/>
        </a:p>
      </dgm:t>
    </dgm:pt>
    <dgm:pt modelId="{492BDE0C-ECF1-4965-A1E3-07F65EBBC421}" type="sibTrans" cxnId="{C80ED9EE-5E49-4778-9F51-906DDEAC84E5}">
      <dgm:prSet/>
      <dgm:spPr/>
      <dgm:t>
        <a:bodyPr/>
        <a:lstStyle/>
        <a:p>
          <a:endParaRPr kumimoji="1" lang="ja-JP" altLang="en-US"/>
        </a:p>
      </dgm:t>
    </dgm:pt>
    <dgm:pt modelId="{05AB8116-D75F-45E7-B662-A6F65AC2E15D}">
      <dgm:prSet phldrT="[テキスト]" custT="1"/>
      <dgm:spPr/>
      <dgm:t>
        <a:bodyPr/>
        <a:lstStyle/>
        <a:p>
          <a:r>
            <a:rPr kumimoji="1" lang="ja-JP" altLang="en-US" sz="1050">
              <a:latin typeface="+mj-ea"/>
              <a:ea typeface="+mj-ea"/>
            </a:rPr>
            <a:t>保健事業の実施</a:t>
          </a:r>
        </a:p>
      </dgm:t>
    </dgm:pt>
    <dgm:pt modelId="{BC4F2C08-7E2E-4782-8055-715507B95848}" type="sibTrans" cxnId="{0BC338E4-B046-4D60-86B5-D2EBA3833545}">
      <dgm:prSet/>
      <dgm:spPr/>
      <dgm:t>
        <a:bodyPr/>
        <a:lstStyle/>
        <a:p>
          <a:endParaRPr kumimoji="1" lang="ja-JP" altLang="en-US"/>
        </a:p>
      </dgm:t>
    </dgm:pt>
    <dgm:pt modelId="{6AF8E220-3935-4418-A829-31235ABE277F}" type="parTrans" cxnId="{0BC338E4-B046-4D60-86B5-D2EBA3833545}">
      <dgm:prSet/>
      <dgm:spPr/>
      <dgm:t>
        <a:bodyPr/>
        <a:lstStyle/>
        <a:p>
          <a:endParaRPr kumimoji="1" lang="ja-JP" altLang="en-US"/>
        </a:p>
      </dgm:t>
    </dgm:pt>
    <dgm:pt modelId="{839395D9-6501-48EE-B3F7-AC13AEA3DCD7}" type="pres">
      <dgm:prSet presAssocID="{60AB4DE3-D318-48A2-8F8C-D5781FC8CB82}" presName="cycleMatrixDiagram" presStyleCnt="0">
        <dgm:presLayoutVars>
          <dgm:chMax val="1"/>
          <dgm:dir/>
          <dgm:animLvl val="lvl"/>
          <dgm:resizeHandles val="exact"/>
        </dgm:presLayoutVars>
      </dgm:prSet>
      <dgm:spPr/>
    </dgm:pt>
    <dgm:pt modelId="{64540813-CD35-4CE1-A3E4-77975D8C26BE}" type="pres">
      <dgm:prSet presAssocID="{60AB4DE3-D318-48A2-8F8C-D5781FC8CB82}" presName="children" presStyleCnt="0"/>
      <dgm:spPr/>
    </dgm:pt>
    <dgm:pt modelId="{4903751D-1007-42B2-9F38-1A2969464C2D}" type="pres">
      <dgm:prSet presAssocID="{60AB4DE3-D318-48A2-8F8C-D5781FC8CB82}" presName="child1group" presStyleCnt="0"/>
      <dgm:spPr/>
    </dgm:pt>
    <dgm:pt modelId="{2EEF0009-EF5B-4F56-B873-9AD881994744}" type="pres">
      <dgm:prSet presAssocID="{60AB4DE3-D318-48A2-8F8C-D5781FC8CB82}" presName="child1" presStyleLbl="bgAcc1" presStyleIdx="0" presStyleCnt="4" custScaleX="219146" custScaleY="75856" custLinFactNeighborX="-48488" custLinFactNeighborY="-5165"/>
      <dgm:spPr/>
    </dgm:pt>
    <dgm:pt modelId="{1A597A09-44C3-49DD-BFEB-75A408DA3BC9}" type="pres">
      <dgm:prSet presAssocID="{60AB4DE3-D318-48A2-8F8C-D5781FC8CB82}" presName="child1Text" presStyleLbl="bgAcc1" presStyleIdx="0" presStyleCnt="4">
        <dgm:presLayoutVars>
          <dgm:bulletEnabled val="1"/>
        </dgm:presLayoutVars>
      </dgm:prSet>
      <dgm:spPr/>
    </dgm:pt>
    <dgm:pt modelId="{64EC0F0A-9178-4140-9053-8EB1F667EE02}" type="pres">
      <dgm:prSet presAssocID="{60AB4DE3-D318-48A2-8F8C-D5781FC8CB82}" presName="child2group" presStyleCnt="0"/>
      <dgm:spPr/>
    </dgm:pt>
    <dgm:pt modelId="{87ECE47C-32A0-419E-A331-C85ED0F1DCE1}" type="pres">
      <dgm:prSet presAssocID="{60AB4DE3-D318-48A2-8F8C-D5781FC8CB82}" presName="child2" presStyleLbl="bgAcc1" presStyleIdx="1" presStyleCnt="4" custScaleX="212540" custScaleY="74998" custLinFactNeighborX="56045" custLinFactNeighborY="-8994"/>
      <dgm:spPr/>
    </dgm:pt>
    <dgm:pt modelId="{E4D3ABC0-BB1C-453C-B534-FDCFDCD9F527}" type="pres">
      <dgm:prSet presAssocID="{60AB4DE3-D318-48A2-8F8C-D5781FC8CB82}" presName="child2Text" presStyleLbl="bgAcc1" presStyleIdx="1" presStyleCnt="4">
        <dgm:presLayoutVars>
          <dgm:bulletEnabled val="1"/>
        </dgm:presLayoutVars>
      </dgm:prSet>
      <dgm:spPr/>
    </dgm:pt>
    <dgm:pt modelId="{3DD732B3-2B92-4E53-BF9E-C3FC7FA312C6}" type="pres">
      <dgm:prSet presAssocID="{60AB4DE3-D318-48A2-8F8C-D5781FC8CB82}" presName="child3group" presStyleCnt="0"/>
      <dgm:spPr/>
    </dgm:pt>
    <dgm:pt modelId="{1FF03427-CE18-44D9-896A-F00738AC9376}" type="pres">
      <dgm:prSet presAssocID="{60AB4DE3-D318-48A2-8F8C-D5781FC8CB82}" presName="child3" presStyleLbl="bgAcc1" presStyleIdx="2" presStyleCnt="4" custScaleX="197571" custScaleY="86528" custLinFactNeighborX="45832" custLinFactNeighborY="-11814"/>
      <dgm:spPr/>
    </dgm:pt>
    <dgm:pt modelId="{24503DCB-94D1-4C26-A3CE-0ED6D5A17FA7}" type="pres">
      <dgm:prSet presAssocID="{60AB4DE3-D318-48A2-8F8C-D5781FC8CB82}" presName="child3Text" presStyleLbl="bgAcc1" presStyleIdx="2" presStyleCnt="4">
        <dgm:presLayoutVars>
          <dgm:bulletEnabled val="1"/>
        </dgm:presLayoutVars>
      </dgm:prSet>
      <dgm:spPr/>
    </dgm:pt>
    <dgm:pt modelId="{9C2F3BE0-B845-40D7-9F1B-95C6608736AB}" type="pres">
      <dgm:prSet presAssocID="{60AB4DE3-D318-48A2-8F8C-D5781FC8CB82}" presName="child4group" presStyleCnt="0"/>
      <dgm:spPr/>
    </dgm:pt>
    <dgm:pt modelId="{BBB63C2A-9B56-497E-A566-D6E4403B78CB}" type="pres">
      <dgm:prSet presAssocID="{60AB4DE3-D318-48A2-8F8C-D5781FC8CB82}" presName="child4" presStyleLbl="bgAcc1" presStyleIdx="3" presStyleCnt="4" custScaleX="191289" custScaleY="81919" custLinFactNeighborX="-66911" custLinFactNeighborY="-5229"/>
      <dgm:spPr/>
    </dgm:pt>
    <dgm:pt modelId="{EFF71E20-3624-4404-AA82-7E447AA05B69}" type="pres">
      <dgm:prSet presAssocID="{60AB4DE3-D318-48A2-8F8C-D5781FC8CB82}" presName="child4Text" presStyleLbl="bgAcc1" presStyleIdx="3" presStyleCnt="4">
        <dgm:presLayoutVars>
          <dgm:bulletEnabled val="1"/>
        </dgm:presLayoutVars>
      </dgm:prSet>
      <dgm:spPr/>
    </dgm:pt>
    <dgm:pt modelId="{759E81C7-0DD4-4AB7-8B86-7C12F7D613D1}" type="pres">
      <dgm:prSet presAssocID="{60AB4DE3-D318-48A2-8F8C-D5781FC8CB82}" presName="childPlaceholder" presStyleCnt="0"/>
      <dgm:spPr/>
    </dgm:pt>
    <dgm:pt modelId="{492E01D8-0D98-48E4-BE73-6DE8863D9E49}" type="pres">
      <dgm:prSet presAssocID="{60AB4DE3-D318-48A2-8F8C-D5781FC8CB82}" presName="circle" presStyleCnt="0"/>
      <dgm:spPr/>
    </dgm:pt>
    <dgm:pt modelId="{752150EA-4397-43C1-A863-E0F0C2BE4AEE}" type="pres">
      <dgm:prSet presAssocID="{60AB4DE3-D318-48A2-8F8C-D5781FC8CB82}" presName="quadrant1" presStyleLbl="node1" presStyleIdx="0" presStyleCnt="4">
        <dgm:presLayoutVars>
          <dgm:chMax val="1"/>
          <dgm:bulletEnabled val="1"/>
        </dgm:presLayoutVars>
      </dgm:prSet>
      <dgm:spPr/>
    </dgm:pt>
    <dgm:pt modelId="{F97EB24F-0A91-48B6-BDF0-328B9C3DCFD4}" type="pres">
      <dgm:prSet presAssocID="{60AB4DE3-D318-48A2-8F8C-D5781FC8CB82}" presName="quadrant2" presStyleLbl="node1" presStyleIdx="1" presStyleCnt="4">
        <dgm:presLayoutVars>
          <dgm:chMax val="1"/>
          <dgm:bulletEnabled val="1"/>
        </dgm:presLayoutVars>
      </dgm:prSet>
      <dgm:spPr/>
    </dgm:pt>
    <dgm:pt modelId="{6A8432D0-6006-4257-B54E-21F2763FDB6D}" type="pres">
      <dgm:prSet presAssocID="{60AB4DE3-D318-48A2-8F8C-D5781FC8CB82}" presName="quadrant3" presStyleLbl="node1" presStyleIdx="2" presStyleCnt="4">
        <dgm:presLayoutVars>
          <dgm:chMax val="1"/>
          <dgm:bulletEnabled val="1"/>
        </dgm:presLayoutVars>
      </dgm:prSet>
      <dgm:spPr/>
    </dgm:pt>
    <dgm:pt modelId="{6D167118-B9D9-423A-BA57-C4470F6B2155}" type="pres">
      <dgm:prSet presAssocID="{60AB4DE3-D318-48A2-8F8C-D5781FC8CB82}" presName="quadrant4" presStyleLbl="node1" presStyleIdx="3" presStyleCnt="4" custLinFactNeighborX="-1155">
        <dgm:presLayoutVars>
          <dgm:chMax val="1"/>
          <dgm:bulletEnabled val="1"/>
        </dgm:presLayoutVars>
      </dgm:prSet>
      <dgm:spPr/>
    </dgm:pt>
    <dgm:pt modelId="{C245F444-E88B-44FD-A662-6A3C983447A8}" type="pres">
      <dgm:prSet presAssocID="{60AB4DE3-D318-48A2-8F8C-D5781FC8CB82}" presName="quadrantPlaceholder" presStyleCnt="0"/>
      <dgm:spPr/>
    </dgm:pt>
    <dgm:pt modelId="{EF50EFD2-EE17-4AE8-96D8-DE8FB6193B88}" type="pres">
      <dgm:prSet presAssocID="{60AB4DE3-D318-48A2-8F8C-D5781FC8CB82}" presName="center1" presStyleLbl="fgShp" presStyleIdx="0" presStyleCnt="2"/>
      <dgm:spPr/>
    </dgm:pt>
    <dgm:pt modelId="{80811036-1936-4C1C-B72E-2F0BB66B65AE}" type="pres">
      <dgm:prSet presAssocID="{60AB4DE3-D318-48A2-8F8C-D5781FC8CB82}" presName="center2" presStyleLbl="fgShp" presStyleIdx="1" presStyleCnt="2"/>
      <dgm:spPr/>
    </dgm:pt>
  </dgm:ptLst>
  <dgm:cxnLst>
    <dgm:cxn modelId="{CDD7E605-E3DD-4AAC-B062-10D9232915D6}" type="presOf" srcId="{733E488C-F956-4463-BF76-5CACB4C80541}" destId="{24503DCB-94D1-4C26-A3CE-0ED6D5A17FA7}" srcOrd="1" destOrd="0" presId="urn:microsoft.com/office/officeart/2005/8/layout/cycle4"/>
    <dgm:cxn modelId="{24FB920E-B7EE-4271-83F0-439D57D23AB9}" type="presOf" srcId="{05AB8116-D75F-45E7-B662-A6F65AC2E15D}" destId="{E4D3ABC0-BB1C-453C-B534-FDCFDCD9F527}" srcOrd="1" destOrd="0" presId="urn:microsoft.com/office/officeart/2005/8/layout/cycle4"/>
    <dgm:cxn modelId="{93B7E81E-D42B-43AD-AA2E-CC8AC8009316}" type="presOf" srcId="{30FC2258-FE3D-4A29-B838-6D5C86F7AC27}" destId="{752150EA-4397-43C1-A863-E0F0C2BE4AEE}" srcOrd="0" destOrd="0" presId="urn:microsoft.com/office/officeart/2005/8/layout/cycle4"/>
    <dgm:cxn modelId="{CA6B2323-88F4-47A6-AE96-2A59FAAA7682}" type="presOf" srcId="{49B47A95-836E-4F80-9FC7-FF3EBCC061FB}" destId="{EFF71E20-3624-4404-AA82-7E447AA05B69}" srcOrd="1" destOrd="0" presId="urn:microsoft.com/office/officeart/2005/8/layout/cycle4"/>
    <dgm:cxn modelId="{AB30A72A-078A-44DA-9073-F36DB8100BC7}" type="presOf" srcId="{49B47A95-836E-4F80-9FC7-FF3EBCC061FB}" destId="{BBB63C2A-9B56-497E-A566-D6E4403B78CB}" srcOrd="0" destOrd="0" presId="urn:microsoft.com/office/officeart/2005/8/layout/cycle4"/>
    <dgm:cxn modelId="{765D8B30-549A-4382-86E3-18805CBF7B59}" type="presOf" srcId="{E8EC46E4-7BFF-43F5-A418-704C408E2F94}" destId="{1A597A09-44C3-49DD-BFEB-75A408DA3BC9}" srcOrd="1" destOrd="0" presId="urn:microsoft.com/office/officeart/2005/8/layout/cycle4"/>
    <dgm:cxn modelId="{6906E35E-57B0-414E-AE4B-F77577D463E9}" srcId="{60AB4DE3-D318-48A2-8F8C-D5781FC8CB82}" destId="{86F1B4E3-F172-4046-9F83-5F17D2B35951}" srcOrd="3" destOrd="0" parTransId="{15780125-B719-4E5A-8E31-0FE109D09D41}" sibTransId="{FA1E447C-9FF5-4840-8B83-3D799884E060}"/>
    <dgm:cxn modelId="{F11D5967-A4C9-4CF6-8F61-F047AB61AE42}" type="presOf" srcId="{05AB8116-D75F-45E7-B662-A6F65AC2E15D}" destId="{87ECE47C-32A0-419E-A331-C85ED0F1DCE1}" srcOrd="0" destOrd="0" presId="urn:microsoft.com/office/officeart/2005/8/layout/cycle4"/>
    <dgm:cxn modelId="{28D6B66B-FC0E-4369-AE3A-BC5E32A2DC8F}" srcId="{60AB4DE3-D318-48A2-8F8C-D5781FC8CB82}" destId="{E629054C-9A4A-4188-9814-327A56E01D00}" srcOrd="2" destOrd="0" parTransId="{82FBE26F-2FFE-49D7-BB60-A5FA3E1BDF61}" sibTransId="{D4F6A741-430A-4322-83D1-4BAE03B1768F}"/>
    <dgm:cxn modelId="{FFBEBB6D-928E-4F7E-812C-18E86D3DB1BD}" srcId="{E629054C-9A4A-4188-9814-327A56E01D00}" destId="{733E488C-F956-4463-BF76-5CACB4C80541}" srcOrd="0" destOrd="0" parTransId="{CFCB22AC-DCEC-45D8-A585-A402F92D427C}" sibTransId="{72B29B3F-E7D3-4C70-BACC-B74CEFD1C3AC}"/>
    <dgm:cxn modelId="{569AF07C-CFC8-426E-AD5D-EF081BA5CD1B}" type="presOf" srcId="{60AB4DE3-D318-48A2-8F8C-D5781FC8CB82}" destId="{839395D9-6501-48EE-B3F7-AC13AEA3DCD7}" srcOrd="0" destOrd="0" presId="urn:microsoft.com/office/officeart/2005/8/layout/cycle4"/>
    <dgm:cxn modelId="{2FD5FA7C-4644-479F-8F1A-A60378CAF9FB}" srcId="{60AB4DE3-D318-48A2-8F8C-D5781FC8CB82}" destId="{30FC2258-FE3D-4A29-B838-6D5C86F7AC27}" srcOrd="0" destOrd="0" parTransId="{7D2710D3-AEC1-4D2C-9485-BE71D629C056}" sibTransId="{E7D25FD4-D856-4878-BAC4-238BF80A845E}"/>
    <dgm:cxn modelId="{A9330DA4-8A88-4BDF-9D80-CBD0B5DE2A02}" type="presOf" srcId="{E629054C-9A4A-4188-9814-327A56E01D00}" destId="{6A8432D0-6006-4257-B54E-21F2763FDB6D}" srcOrd="0" destOrd="0" presId="urn:microsoft.com/office/officeart/2005/8/layout/cycle4"/>
    <dgm:cxn modelId="{B90B17A5-E95C-4E7C-B8E4-962CF2923702}" srcId="{60AB4DE3-D318-48A2-8F8C-D5781FC8CB82}" destId="{AF8B5724-EE29-4CCE-BA6F-29DF8895CD9E}" srcOrd="1" destOrd="0" parTransId="{B64BBE8E-95DB-4E3B-9144-642C30B3ABA0}" sibTransId="{FBA5165D-EC3F-4917-9851-8496F1763D48}"/>
    <dgm:cxn modelId="{739FA1A5-42D1-4BEC-8523-E6ECFC49A1D1}" type="presOf" srcId="{E8EC46E4-7BFF-43F5-A418-704C408E2F94}" destId="{2EEF0009-EF5B-4F56-B873-9AD881994744}" srcOrd="0" destOrd="0" presId="urn:microsoft.com/office/officeart/2005/8/layout/cycle4"/>
    <dgm:cxn modelId="{0F5B8FCF-1367-42B0-BC57-CE6462CFD919}" type="presOf" srcId="{AF8B5724-EE29-4CCE-BA6F-29DF8895CD9E}" destId="{F97EB24F-0A91-48B6-BDF0-328B9C3DCFD4}" srcOrd="0" destOrd="0" presId="urn:microsoft.com/office/officeart/2005/8/layout/cycle4"/>
    <dgm:cxn modelId="{9713F2D3-863B-457B-93A4-135500A49C16}" type="presOf" srcId="{86F1B4E3-F172-4046-9F83-5F17D2B35951}" destId="{6D167118-B9D9-423A-BA57-C4470F6B2155}" srcOrd="0" destOrd="0" presId="urn:microsoft.com/office/officeart/2005/8/layout/cycle4"/>
    <dgm:cxn modelId="{0BC338E4-B046-4D60-86B5-D2EBA3833545}" srcId="{AF8B5724-EE29-4CCE-BA6F-29DF8895CD9E}" destId="{05AB8116-D75F-45E7-B662-A6F65AC2E15D}" srcOrd="0" destOrd="0" parTransId="{6AF8E220-3935-4418-A829-31235ABE277F}" sibTransId="{BC4F2C08-7E2E-4782-8055-715507B95848}"/>
    <dgm:cxn modelId="{C6A223EA-6142-47AC-82BA-9890EA056FB4}" srcId="{30FC2258-FE3D-4A29-B838-6D5C86F7AC27}" destId="{E8EC46E4-7BFF-43F5-A418-704C408E2F94}" srcOrd="0" destOrd="0" parTransId="{7512AD9B-DCC7-4839-875A-33A7752E72D2}" sibTransId="{A8D44E8A-FF16-4620-B58E-9139C3D32398}"/>
    <dgm:cxn modelId="{C80ED9EE-5E49-4778-9F51-906DDEAC84E5}" srcId="{86F1B4E3-F172-4046-9F83-5F17D2B35951}" destId="{49B47A95-836E-4F80-9FC7-FF3EBCC061FB}" srcOrd="0" destOrd="0" parTransId="{302B9D14-E97A-4050-9B20-5A92EB7A29FC}" sibTransId="{492BDE0C-ECF1-4965-A1E3-07F65EBBC421}"/>
    <dgm:cxn modelId="{DA8B1EFE-54F9-44D9-B198-FBD35A329098}" type="presOf" srcId="{733E488C-F956-4463-BF76-5CACB4C80541}" destId="{1FF03427-CE18-44D9-896A-F00738AC9376}" srcOrd="0" destOrd="0" presId="urn:microsoft.com/office/officeart/2005/8/layout/cycle4"/>
    <dgm:cxn modelId="{BDA6FF08-C888-4039-A68E-C6087E1C2230}" type="presParOf" srcId="{839395D9-6501-48EE-B3F7-AC13AEA3DCD7}" destId="{64540813-CD35-4CE1-A3E4-77975D8C26BE}" srcOrd="0" destOrd="0" presId="urn:microsoft.com/office/officeart/2005/8/layout/cycle4"/>
    <dgm:cxn modelId="{50CEF268-D1B6-4F16-ABF3-584CB763CA67}" type="presParOf" srcId="{64540813-CD35-4CE1-A3E4-77975D8C26BE}" destId="{4903751D-1007-42B2-9F38-1A2969464C2D}" srcOrd="0" destOrd="0" presId="urn:microsoft.com/office/officeart/2005/8/layout/cycle4"/>
    <dgm:cxn modelId="{2CE67C00-DFFA-461C-9AFE-12B49A44BEA3}" type="presParOf" srcId="{4903751D-1007-42B2-9F38-1A2969464C2D}" destId="{2EEF0009-EF5B-4F56-B873-9AD881994744}" srcOrd="0" destOrd="0" presId="urn:microsoft.com/office/officeart/2005/8/layout/cycle4"/>
    <dgm:cxn modelId="{54287E61-CAF4-48A6-AA1B-037F8E69EA43}" type="presParOf" srcId="{4903751D-1007-42B2-9F38-1A2969464C2D}" destId="{1A597A09-44C3-49DD-BFEB-75A408DA3BC9}" srcOrd="1" destOrd="0" presId="urn:microsoft.com/office/officeart/2005/8/layout/cycle4"/>
    <dgm:cxn modelId="{3D7F9FB2-E170-4702-B512-94E9B8444499}" type="presParOf" srcId="{64540813-CD35-4CE1-A3E4-77975D8C26BE}" destId="{64EC0F0A-9178-4140-9053-8EB1F667EE02}" srcOrd="1" destOrd="0" presId="urn:microsoft.com/office/officeart/2005/8/layout/cycle4"/>
    <dgm:cxn modelId="{81078314-C97C-45DB-95CB-7543C2F31784}" type="presParOf" srcId="{64EC0F0A-9178-4140-9053-8EB1F667EE02}" destId="{87ECE47C-32A0-419E-A331-C85ED0F1DCE1}" srcOrd="0" destOrd="0" presId="urn:microsoft.com/office/officeart/2005/8/layout/cycle4"/>
    <dgm:cxn modelId="{516DC080-5541-4618-8CCF-5992B5DD7321}" type="presParOf" srcId="{64EC0F0A-9178-4140-9053-8EB1F667EE02}" destId="{E4D3ABC0-BB1C-453C-B534-FDCFDCD9F527}" srcOrd="1" destOrd="0" presId="urn:microsoft.com/office/officeart/2005/8/layout/cycle4"/>
    <dgm:cxn modelId="{97687666-E710-4E93-A8CE-4FE903514329}" type="presParOf" srcId="{64540813-CD35-4CE1-A3E4-77975D8C26BE}" destId="{3DD732B3-2B92-4E53-BF9E-C3FC7FA312C6}" srcOrd="2" destOrd="0" presId="urn:microsoft.com/office/officeart/2005/8/layout/cycle4"/>
    <dgm:cxn modelId="{DB747256-F3EB-456C-A482-6835F89BC769}" type="presParOf" srcId="{3DD732B3-2B92-4E53-BF9E-C3FC7FA312C6}" destId="{1FF03427-CE18-44D9-896A-F00738AC9376}" srcOrd="0" destOrd="0" presId="urn:microsoft.com/office/officeart/2005/8/layout/cycle4"/>
    <dgm:cxn modelId="{F61B6E2B-DB96-4386-A5B6-E90B67FA9AC8}" type="presParOf" srcId="{3DD732B3-2B92-4E53-BF9E-C3FC7FA312C6}" destId="{24503DCB-94D1-4C26-A3CE-0ED6D5A17FA7}" srcOrd="1" destOrd="0" presId="urn:microsoft.com/office/officeart/2005/8/layout/cycle4"/>
    <dgm:cxn modelId="{09AD25EE-C871-4CED-963F-41E50089B83B}" type="presParOf" srcId="{64540813-CD35-4CE1-A3E4-77975D8C26BE}" destId="{9C2F3BE0-B845-40D7-9F1B-95C6608736AB}" srcOrd="3" destOrd="0" presId="urn:microsoft.com/office/officeart/2005/8/layout/cycle4"/>
    <dgm:cxn modelId="{F595F2BC-0104-46E4-8A9A-01030643FA1F}" type="presParOf" srcId="{9C2F3BE0-B845-40D7-9F1B-95C6608736AB}" destId="{BBB63C2A-9B56-497E-A566-D6E4403B78CB}" srcOrd="0" destOrd="0" presId="urn:microsoft.com/office/officeart/2005/8/layout/cycle4"/>
    <dgm:cxn modelId="{464C2036-C108-49F6-9333-06A28638C0E0}" type="presParOf" srcId="{9C2F3BE0-B845-40D7-9F1B-95C6608736AB}" destId="{EFF71E20-3624-4404-AA82-7E447AA05B69}" srcOrd="1" destOrd="0" presId="urn:microsoft.com/office/officeart/2005/8/layout/cycle4"/>
    <dgm:cxn modelId="{355CCAE8-F89D-4564-83C0-4E8D3D53D8EE}" type="presParOf" srcId="{64540813-CD35-4CE1-A3E4-77975D8C26BE}" destId="{759E81C7-0DD4-4AB7-8B86-7C12F7D613D1}" srcOrd="4" destOrd="0" presId="urn:microsoft.com/office/officeart/2005/8/layout/cycle4"/>
    <dgm:cxn modelId="{7A9AC749-0C52-48D0-A09E-336C5BD712DC}" type="presParOf" srcId="{839395D9-6501-48EE-B3F7-AC13AEA3DCD7}" destId="{492E01D8-0D98-48E4-BE73-6DE8863D9E49}" srcOrd="1" destOrd="0" presId="urn:microsoft.com/office/officeart/2005/8/layout/cycle4"/>
    <dgm:cxn modelId="{DB5FFBDA-CE9F-4488-8C0B-647C12D24CB8}" type="presParOf" srcId="{492E01D8-0D98-48E4-BE73-6DE8863D9E49}" destId="{752150EA-4397-43C1-A863-E0F0C2BE4AEE}" srcOrd="0" destOrd="0" presId="urn:microsoft.com/office/officeart/2005/8/layout/cycle4"/>
    <dgm:cxn modelId="{475F18DC-383C-4F13-B1EE-574E3506C8F6}" type="presParOf" srcId="{492E01D8-0D98-48E4-BE73-6DE8863D9E49}" destId="{F97EB24F-0A91-48B6-BDF0-328B9C3DCFD4}" srcOrd="1" destOrd="0" presId="urn:microsoft.com/office/officeart/2005/8/layout/cycle4"/>
    <dgm:cxn modelId="{9AC31C0F-1583-403A-9F38-2EF897B25994}" type="presParOf" srcId="{492E01D8-0D98-48E4-BE73-6DE8863D9E49}" destId="{6A8432D0-6006-4257-B54E-21F2763FDB6D}" srcOrd="2" destOrd="0" presId="urn:microsoft.com/office/officeart/2005/8/layout/cycle4"/>
    <dgm:cxn modelId="{313FB45A-84ED-4FDF-96BA-73738A1F49C5}" type="presParOf" srcId="{492E01D8-0D98-48E4-BE73-6DE8863D9E49}" destId="{6D167118-B9D9-423A-BA57-C4470F6B2155}" srcOrd="3" destOrd="0" presId="urn:microsoft.com/office/officeart/2005/8/layout/cycle4"/>
    <dgm:cxn modelId="{68C7020D-FF53-48EE-A55A-133A57022A7A}" type="presParOf" srcId="{492E01D8-0D98-48E4-BE73-6DE8863D9E49}" destId="{C245F444-E88B-44FD-A662-6A3C983447A8}" srcOrd="4" destOrd="0" presId="urn:microsoft.com/office/officeart/2005/8/layout/cycle4"/>
    <dgm:cxn modelId="{59F59BC8-2F76-4F64-AC69-A8E14DD80408}" type="presParOf" srcId="{839395D9-6501-48EE-B3F7-AC13AEA3DCD7}" destId="{EF50EFD2-EE17-4AE8-96D8-DE8FB6193B88}" srcOrd="2" destOrd="0" presId="urn:microsoft.com/office/officeart/2005/8/layout/cycle4"/>
    <dgm:cxn modelId="{597EC7EB-07E1-4A31-8EA9-C9C67F9FF7F4}" type="presParOf" srcId="{839395D9-6501-48EE-B3F7-AC13AEA3DCD7}" destId="{80811036-1936-4C1C-B72E-2F0BB66B65AE}"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0AB4DE3-D318-48A2-8F8C-D5781FC8CB82}" type="doc">
      <dgm:prSet loTypeId="urn:microsoft.com/office/officeart/2005/8/layout/cycle4" loCatId="matrix" qsTypeId="urn:microsoft.com/office/officeart/2005/8/quickstyle/simple1" qsCatId="simple" csTypeId="urn:microsoft.com/office/officeart/2005/8/colors/colorful1" csCatId="colorful" phldr="1"/>
      <dgm:spPr/>
      <dgm:t>
        <a:bodyPr/>
        <a:lstStyle/>
        <a:p>
          <a:endParaRPr kumimoji="1" lang="ja-JP" altLang="en-US"/>
        </a:p>
      </dgm:t>
    </dgm:pt>
    <dgm:pt modelId="{30FC2258-FE3D-4A29-B838-6D5C86F7AC27}">
      <dgm:prSet phldrT="[テキスト]" custT="1"/>
      <dgm:spPr/>
      <dgm:t>
        <a:bodyPr/>
        <a:lstStyle/>
        <a:p>
          <a:r>
            <a:rPr kumimoji="1" lang="en-US" altLang="ja-JP" sz="1000"/>
            <a:t>Plan</a:t>
          </a:r>
        </a:p>
        <a:p>
          <a:r>
            <a:rPr kumimoji="1" lang="ja-JP" altLang="en-US" sz="800"/>
            <a:t>（計画）</a:t>
          </a:r>
        </a:p>
      </dgm:t>
    </dgm:pt>
    <dgm:pt modelId="{7D2710D3-AEC1-4D2C-9485-BE71D629C056}" type="parTrans" cxnId="{2FD5FA7C-4644-479F-8F1A-A60378CAF9FB}">
      <dgm:prSet/>
      <dgm:spPr/>
      <dgm:t>
        <a:bodyPr/>
        <a:lstStyle/>
        <a:p>
          <a:endParaRPr kumimoji="1" lang="ja-JP" altLang="en-US"/>
        </a:p>
      </dgm:t>
    </dgm:pt>
    <dgm:pt modelId="{E7D25FD4-D856-4878-BAC4-238BF80A845E}" type="sibTrans" cxnId="{2FD5FA7C-4644-479F-8F1A-A60378CAF9FB}">
      <dgm:prSet/>
      <dgm:spPr/>
      <dgm:t>
        <a:bodyPr/>
        <a:lstStyle/>
        <a:p>
          <a:endParaRPr kumimoji="1" lang="ja-JP" altLang="en-US"/>
        </a:p>
      </dgm:t>
    </dgm:pt>
    <dgm:pt modelId="{E8EC46E4-7BFF-43F5-A418-704C408E2F94}">
      <dgm:prSet phldrT="[テキスト]" custT="1"/>
      <dgm:spPr/>
      <dgm:t>
        <a:bodyPr/>
        <a:lstStyle/>
        <a:p>
          <a:r>
            <a:rPr kumimoji="1" lang="ja-JP" altLang="en-US" sz="1050">
              <a:latin typeface="+mj-ea"/>
              <a:ea typeface="+mj-ea"/>
            </a:rPr>
            <a:t>データ分析に基づく　　事業の立案</a:t>
          </a:r>
        </a:p>
      </dgm:t>
    </dgm:pt>
    <dgm:pt modelId="{7512AD9B-DCC7-4839-875A-33A7752E72D2}" type="parTrans" cxnId="{C6A223EA-6142-47AC-82BA-9890EA056FB4}">
      <dgm:prSet/>
      <dgm:spPr/>
      <dgm:t>
        <a:bodyPr/>
        <a:lstStyle/>
        <a:p>
          <a:endParaRPr kumimoji="1" lang="ja-JP" altLang="en-US"/>
        </a:p>
      </dgm:t>
    </dgm:pt>
    <dgm:pt modelId="{A8D44E8A-FF16-4620-B58E-9139C3D32398}" type="sibTrans" cxnId="{C6A223EA-6142-47AC-82BA-9890EA056FB4}">
      <dgm:prSet/>
      <dgm:spPr/>
      <dgm:t>
        <a:bodyPr/>
        <a:lstStyle/>
        <a:p>
          <a:endParaRPr kumimoji="1" lang="ja-JP" altLang="en-US"/>
        </a:p>
      </dgm:t>
    </dgm:pt>
    <dgm:pt modelId="{AF8B5724-EE29-4CCE-BA6F-29DF8895CD9E}">
      <dgm:prSet phldrT="[テキスト]" custT="1"/>
      <dgm:spPr/>
      <dgm:t>
        <a:bodyPr/>
        <a:lstStyle/>
        <a:p>
          <a:r>
            <a:rPr kumimoji="1" lang="en-US" altLang="ja-JP" sz="900"/>
            <a:t>Do</a:t>
          </a:r>
        </a:p>
        <a:p>
          <a:r>
            <a:rPr kumimoji="1" lang="ja-JP" altLang="en-US" sz="900"/>
            <a:t>（</a:t>
          </a:r>
          <a:r>
            <a:rPr kumimoji="1" lang="ja-JP" altLang="en-US" sz="800"/>
            <a:t>実施）</a:t>
          </a:r>
        </a:p>
      </dgm:t>
    </dgm:pt>
    <dgm:pt modelId="{B64BBE8E-95DB-4E3B-9144-642C30B3ABA0}" type="parTrans" cxnId="{B90B17A5-E95C-4E7C-B8E4-962CF2923702}">
      <dgm:prSet/>
      <dgm:spPr/>
      <dgm:t>
        <a:bodyPr/>
        <a:lstStyle/>
        <a:p>
          <a:endParaRPr kumimoji="1" lang="ja-JP" altLang="en-US"/>
        </a:p>
      </dgm:t>
    </dgm:pt>
    <dgm:pt modelId="{FBA5165D-EC3F-4917-9851-8496F1763D48}" type="sibTrans" cxnId="{B90B17A5-E95C-4E7C-B8E4-962CF2923702}">
      <dgm:prSet/>
      <dgm:spPr/>
      <dgm:t>
        <a:bodyPr/>
        <a:lstStyle/>
        <a:p>
          <a:endParaRPr kumimoji="1" lang="ja-JP" altLang="en-US"/>
        </a:p>
      </dgm:t>
    </dgm:pt>
    <dgm:pt modelId="{E629054C-9A4A-4188-9814-327A56E01D00}">
      <dgm:prSet phldrT="[テキスト]" custT="1"/>
      <dgm:spPr/>
      <dgm:t>
        <a:bodyPr/>
        <a:lstStyle/>
        <a:p>
          <a:r>
            <a:rPr kumimoji="1" lang="en-US" altLang="ja-JP" sz="800"/>
            <a:t>Check</a:t>
          </a:r>
        </a:p>
        <a:p>
          <a:r>
            <a:rPr kumimoji="1" lang="en-US" altLang="ja-JP" sz="800"/>
            <a:t>(</a:t>
          </a:r>
          <a:r>
            <a:rPr kumimoji="1" lang="ja-JP" altLang="en-US" sz="800"/>
            <a:t>評価）</a:t>
          </a:r>
        </a:p>
      </dgm:t>
    </dgm:pt>
    <dgm:pt modelId="{82FBE26F-2FFE-49D7-BB60-A5FA3E1BDF61}" type="parTrans" cxnId="{28D6B66B-FC0E-4369-AE3A-BC5E32A2DC8F}">
      <dgm:prSet/>
      <dgm:spPr/>
      <dgm:t>
        <a:bodyPr/>
        <a:lstStyle/>
        <a:p>
          <a:endParaRPr kumimoji="1" lang="ja-JP" altLang="en-US"/>
        </a:p>
      </dgm:t>
    </dgm:pt>
    <dgm:pt modelId="{D4F6A741-430A-4322-83D1-4BAE03B1768F}" type="sibTrans" cxnId="{28D6B66B-FC0E-4369-AE3A-BC5E32A2DC8F}">
      <dgm:prSet/>
      <dgm:spPr/>
      <dgm:t>
        <a:bodyPr/>
        <a:lstStyle/>
        <a:p>
          <a:endParaRPr kumimoji="1" lang="ja-JP" altLang="en-US"/>
        </a:p>
      </dgm:t>
    </dgm:pt>
    <dgm:pt modelId="{733E488C-F956-4463-BF76-5CACB4C80541}">
      <dgm:prSet phldrT="[テキスト]" custT="1"/>
      <dgm:spPr/>
      <dgm:t>
        <a:bodyPr/>
        <a:lstStyle/>
        <a:p>
          <a:r>
            <a:rPr kumimoji="1" lang="ja-JP" altLang="en-US" sz="1050">
              <a:latin typeface="+mj-ea"/>
              <a:ea typeface="+mj-ea"/>
            </a:rPr>
            <a:t>データ分析に基づく効果測定・評価</a:t>
          </a:r>
        </a:p>
      </dgm:t>
    </dgm:pt>
    <dgm:pt modelId="{CFCB22AC-DCEC-45D8-A585-A402F92D427C}" type="parTrans" cxnId="{FFBEBB6D-928E-4F7E-812C-18E86D3DB1BD}">
      <dgm:prSet/>
      <dgm:spPr/>
      <dgm:t>
        <a:bodyPr/>
        <a:lstStyle/>
        <a:p>
          <a:endParaRPr kumimoji="1" lang="ja-JP" altLang="en-US"/>
        </a:p>
      </dgm:t>
    </dgm:pt>
    <dgm:pt modelId="{72B29B3F-E7D3-4C70-BACC-B74CEFD1C3AC}" type="sibTrans" cxnId="{FFBEBB6D-928E-4F7E-812C-18E86D3DB1BD}">
      <dgm:prSet/>
      <dgm:spPr/>
      <dgm:t>
        <a:bodyPr/>
        <a:lstStyle/>
        <a:p>
          <a:endParaRPr kumimoji="1" lang="ja-JP" altLang="en-US"/>
        </a:p>
      </dgm:t>
    </dgm:pt>
    <dgm:pt modelId="{86F1B4E3-F172-4046-9F83-5F17D2B35951}">
      <dgm:prSet phldrT="[テキスト]" custT="1"/>
      <dgm:spPr/>
      <dgm:t>
        <a:bodyPr/>
        <a:lstStyle/>
        <a:p>
          <a:r>
            <a:rPr kumimoji="1" lang="en-US" altLang="ja-JP" sz="1000"/>
            <a:t>Act</a:t>
          </a:r>
        </a:p>
        <a:p>
          <a:r>
            <a:rPr kumimoji="1" lang="ja-JP" altLang="en-US" sz="800"/>
            <a:t>（改善）</a:t>
          </a:r>
        </a:p>
      </dgm:t>
    </dgm:pt>
    <dgm:pt modelId="{15780125-B719-4E5A-8E31-0FE109D09D41}" type="parTrans" cxnId="{6906E35E-57B0-414E-AE4B-F77577D463E9}">
      <dgm:prSet/>
      <dgm:spPr/>
      <dgm:t>
        <a:bodyPr/>
        <a:lstStyle/>
        <a:p>
          <a:endParaRPr kumimoji="1" lang="ja-JP" altLang="en-US"/>
        </a:p>
      </dgm:t>
    </dgm:pt>
    <dgm:pt modelId="{FA1E447C-9FF5-4840-8B83-3D799884E060}" type="sibTrans" cxnId="{6906E35E-57B0-414E-AE4B-F77577D463E9}">
      <dgm:prSet/>
      <dgm:spPr/>
      <dgm:t>
        <a:bodyPr/>
        <a:lstStyle/>
        <a:p>
          <a:endParaRPr kumimoji="1" lang="ja-JP" altLang="en-US"/>
        </a:p>
      </dgm:t>
    </dgm:pt>
    <dgm:pt modelId="{49B47A95-836E-4F80-9FC7-FF3EBCC061FB}">
      <dgm:prSet phldrT="[テキスト]" custT="1"/>
      <dgm:spPr/>
      <dgm:t>
        <a:bodyPr/>
        <a:lstStyle/>
        <a:p>
          <a:r>
            <a:rPr kumimoji="1" lang="ja-JP" altLang="en-US" sz="1050">
              <a:latin typeface="+mj-ea"/>
              <a:ea typeface="+mj-ea"/>
            </a:rPr>
            <a:t>次サイクルに向けて修正</a:t>
          </a:r>
        </a:p>
      </dgm:t>
    </dgm:pt>
    <dgm:pt modelId="{302B9D14-E97A-4050-9B20-5A92EB7A29FC}" type="parTrans" cxnId="{C80ED9EE-5E49-4778-9F51-906DDEAC84E5}">
      <dgm:prSet/>
      <dgm:spPr/>
      <dgm:t>
        <a:bodyPr/>
        <a:lstStyle/>
        <a:p>
          <a:endParaRPr kumimoji="1" lang="ja-JP" altLang="en-US"/>
        </a:p>
      </dgm:t>
    </dgm:pt>
    <dgm:pt modelId="{492BDE0C-ECF1-4965-A1E3-07F65EBBC421}" type="sibTrans" cxnId="{C80ED9EE-5E49-4778-9F51-906DDEAC84E5}">
      <dgm:prSet/>
      <dgm:spPr/>
      <dgm:t>
        <a:bodyPr/>
        <a:lstStyle/>
        <a:p>
          <a:endParaRPr kumimoji="1" lang="ja-JP" altLang="en-US"/>
        </a:p>
      </dgm:t>
    </dgm:pt>
    <dgm:pt modelId="{05AB8116-D75F-45E7-B662-A6F65AC2E15D}">
      <dgm:prSet phldrT="[テキスト]" custT="1"/>
      <dgm:spPr/>
      <dgm:t>
        <a:bodyPr/>
        <a:lstStyle/>
        <a:p>
          <a:r>
            <a:rPr kumimoji="1" lang="ja-JP" altLang="en-US" sz="1050">
              <a:latin typeface="+mj-ea"/>
              <a:ea typeface="+mj-ea"/>
            </a:rPr>
            <a:t>保健事業の実施</a:t>
          </a:r>
        </a:p>
      </dgm:t>
    </dgm:pt>
    <dgm:pt modelId="{BC4F2C08-7E2E-4782-8055-715507B95848}" type="sibTrans" cxnId="{0BC338E4-B046-4D60-86B5-D2EBA3833545}">
      <dgm:prSet/>
      <dgm:spPr/>
      <dgm:t>
        <a:bodyPr/>
        <a:lstStyle/>
        <a:p>
          <a:endParaRPr kumimoji="1" lang="ja-JP" altLang="en-US"/>
        </a:p>
      </dgm:t>
    </dgm:pt>
    <dgm:pt modelId="{6AF8E220-3935-4418-A829-31235ABE277F}" type="parTrans" cxnId="{0BC338E4-B046-4D60-86B5-D2EBA3833545}">
      <dgm:prSet/>
      <dgm:spPr/>
      <dgm:t>
        <a:bodyPr/>
        <a:lstStyle/>
        <a:p>
          <a:endParaRPr kumimoji="1" lang="ja-JP" altLang="en-US"/>
        </a:p>
      </dgm:t>
    </dgm:pt>
    <dgm:pt modelId="{839395D9-6501-48EE-B3F7-AC13AEA3DCD7}" type="pres">
      <dgm:prSet presAssocID="{60AB4DE3-D318-48A2-8F8C-D5781FC8CB82}" presName="cycleMatrixDiagram" presStyleCnt="0">
        <dgm:presLayoutVars>
          <dgm:chMax val="1"/>
          <dgm:dir/>
          <dgm:animLvl val="lvl"/>
          <dgm:resizeHandles val="exact"/>
        </dgm:presLayoutVars>
      </dgm:prSet>
      <dgm:spPr/>
    </dgm:pt>
    <dgm:pt modelId="{64540813-CD35-4CE1-A3E4-77975D8C26BE}" type="pres">
      <dgm:prSet presAssocID="{60AB4DE3-D318-48A2-8F8C-D5781FC8CB82}" presName="children" presStyleCnt="0"/>
      <dgm:spPr/>
    </dgm:pt>
    <dgm:pt modelId="{4903751D-1007-42B2-9F38-1A2969464C2D}" type="pres">
      <dgm:prSet presAssocID="{60AB4DE3-D318-48A2-8F8C-D5781FC8CB82}" presName="child1group" presStyleCnt="0"/>
      <dgm:spPr/>
    </dgm:pt>
    <dgm:pt modelId="{2EEF0009-EF5B-4F56-B873-9AD881994744}" type="pres">
      <dgm:prSet presAssocID="{60AB4DE3-D318-48A2-8F8C-D5781FC8CB82}" presName="child1" presStyleLbl="bgAcc1" presStyleIdx="0" presStyleCnt="4" custScaleX="219146" custScaleY="75856" custLinFactNeighborX="-48488" custLinFactNeighborY="-5165"/>
      <dgm:spPr/>
    </dgm:pt>
    <dgm:pt modelId="{1A597A09-44C3-49DD-BFEB-75A408DA3BC9}" type="pres">
      <dgm:prSet presAssocID="{60AB4DE3-D318-48A2-8F8C-D5781FC8CB82}" presName="child1Text" presStyleLbl="bgAcc1" presStyleIdx="0" presStyleCnt="4">
        <dgm:presLayoutVars>
          <dgm:bulletEnabled val="1"/>
        </dgm:presLayoutVars>
      </dgm:prSet>
      <dgm:spPr/>
    </dgm:pt>
    <dgm:pt modelId="{64EC0F0A-9178-4140-9053-8EB1F667EE02}" type="pres">
      <dgm:prSet presAssocID="{60AB4DE3-D318-48A2-8F8C-D5781FC8CB82}" presName="child2group" presStyleCnt="0"/>
      <dgm:spPr/>
    </dgm:pt>
    <dgm:pt modelId="{87ECE47C-32A0-419E-A331-C85ED0F1DCE1}" type="pres">
      <dgm:prSet presAssocID="{60AB4DE3-D318-48A2-8F8C-D5781FC8CB82}" presName="child2" presStyleLbl="bgAcc1" presStyleIdx="1" presStyleCnt="4" custScaleX="212540" custScaleY="74998" custLinFactNeighborX="56045" custLinFactNeighborY="-8994"/>
      <dgm:spPr/>
    </dgm:pt>
    <dgm:pt modelId="{E4D3ABC0-BB1C-453C-B534-FDCFDCD9F527}" type="pres">
      <dgm:prSet presAssocID="{60AB4DE3-D318-48A2-8F8C-D5781FC8CB82}" presName="child2Text" presStyleLbl="bgAcc1" presStyleIdx="1" presStyleCnt="4">
        <dgm:presLayoutVars>
          <dgm:bulletEnabled val="1"/>
        </dgm:presLayoutVars>
      </dgm:prSet>
      <dgm:spPr/>
    </dgm:pt>
    <dgm:pt modelId="{3DD732B3-2B92-4E53-BF9E-C3FC7FA312C6}" type="pres">
      <dgm:prSet presAssocID="{60AB4DE3-D318-48A2-8F8C-D5781FC8CB82}" presName="child3group" presStyleCnt="0"/>
      <dgm:spPr/>
    </dgm:pt>
    <dgm:pt modelId="{1FF03427-CE18-44D9-896A-F00738AC9376}" type="pres">
      <dgm:prSet presAssocID="{60AB4DE3-D318-48A2-8F8C-D5781FC8CB82}" presName="child3" presStyleLbl="bgAcc1" presStyleIdx="2" presStyleCnt="4" custScaleX="197571" custScaleY="86528" custLinFactNeighborX="45832" custLinFactNeighborY="-11814"/>
      <dgm:spPr/>
    </dgm:pt>
    <dgm:pt modelId="{24503DCB-94D1-4C26-A3CE-0ED6D5A17FA7}" type="pres">
      <dgm:prSet presAssocID="{60AB4DE3-D318-48A2-8F8C-D5781FC8CB82}" presName="child3Text" presStyleLbl="bgAcc1" presStyleIdx="2" presStyleCnt="4">
        <dgm:presLayoutVars>
          <dgm:bulletEnabled val="1"/>
        </dgm:presLayoutVars>
      </dgm:prSet>
      <dgm:spPr/>
    </dgm:pt>
    <dgm:pt modelId="{9C2F3BE0-B845-40D7-9F1B-95C6608736AB}" type="pres">
      <dgm:prSet presAssocID="{60AB4DE3-D318-48A2-8F8C-D5781FC8CB82}" presName="child4group" presStyleCnt="0"/>
      <dgm:spPr/>
    </dgm:pt>
    <dgm:pt modelId="{BBB63C2A-9B56-497E-A566-D6E4403B78CB}" type="pres">
      <dgm:prSet presAssocID="{60AB4DE3-D318-48A2-8F8C-D5781FC8CB82}" presName="child4" presStyleLbl="bgAcc1" presStyleIdx="3" presStyleCnt="4" custScaleX="191289" custScaleY="81919" custLinFactNeighborX="-66911" custLinFactNeighborY="-5229"/>
      <dgm:spPr/>
    </dgm:pt>
    <dgm:pt modelId="{EFF71E20-3624-4404-AA82-7E447AA05B69}" type="pres">
      <dgm:prSet presAssocID="{60AB4DE3-D318-48A2-8F8C-D5781FC8CB82}" presName="child4Text" presStyleLbl="bgAcc1" presStyleIdx="3" presStyleCnt="4">
        <dgm:presLayoutVars>
          <dgm:bulletEnabled val="1"/>
        </dgm:presLayoutVars>
      </dgm:prSet>
      <dgm:spPr/>
    </dgm:pt>
    <dgm:pt modelId="{759E81C7-0DD4-4AB7-8B86-7C12F7D613D1}" type="pres">
      <dgm:prSet presAssocID="{60AB4DE3-D318-48A2-8F8C-D5781FC8CB82}" presName="childPlaceholder" presStyleCnt="0"/>
      <dgm:spPr/>
    </dgm:pt>
    <dgm:pt modelId="{492E01D8-0D98-48E4-BE73-6DE8863D9E49}" type="pres">
      <dgm:prSet presAssocID="{60AB4DE3-D318-48A2-8F8C-D5781FC8CB82}" presName="circle" presStyleCnt="0"/>
      <dgm:spPr/>
    </dgm:pt>
    <dgm:pt modelId="{752150EA-4397-43C1-A863-E0F0C2BE4AEE}" type="pres">
      <dgm:prSet presAssocID="{60AB4DE3-D318-48A2-8F8C-D5781FC8CB82}" presName="quadrant1" presStyleLbl="node1" presStyleIdx="0" presStyleCnt="4">
        <dgm:presLayoutVars>
          <dgm:chMax val="1"/>
          <dgm:bulletEnabled val="1"/>
        </dgm:presLayoutVars>
      </dgm:prSet>
      <dgm:spPr/>
    </dgm:pt>
    <dgm:pt modelId="{F97EB24F-0A91-48B6-BDF0-328B9C3DCFD4}" type="pres">
      <dgm:prSet presAssocID="{60AB4DE3-D318-48A2-8F8C-D5781FC8CB82}" presName="quadrant2" presStyleLbl="node1" presStyleIdx="1" presStyleCnt="4">
        <dgm:presLayoutVars>
          <dgm:chMax val="1"/>
          <dgm:bulletEnabled val="1"/>
        </dgm:presLayoutVars>
      </dgm:prSet>
      <dgm:spPr/>
    </dgm:pt>
    <dgm:pt modelId="{6A8432D0-6006-4257-B54E-21F2763FDB6D}" type="pres">
      <dgm:prSet presAssocID="{60AB4DE3-D318-48A2-8F8C-D5781FC8CB82}" presName="quadrant3" presStyleLbl="node1" presStyleIdx="2" presStyleCnt="4">
        <dgm:presLayoutVars>
          <dgm:chMax val="1"/>
          <dgm:bulletEnabled val="1"/>
        </dgm:presLayoutVars>
      </dgm:prSet>
      <dgm:spPr/>
    </dgm:pt>
    <dgm:pt modelId="{6D167118-B9D9-423A-BA57-C4470F6B2155}" type="pres">
      <dgm:prSet presAssocID="{60AB4DE3-D318-48A2-8F8C-D5781FC8CB82}" presName="quadrant4" presStyleLbl="node1" presStyleIdx="3" presStyleCnt="4" custLinFactNeighborX="-1155">
        <dgm:presLayoutVars>
          <dgm:chMax val="1"/>
          <dgm:bulletEnabled val="1"/>
        </dgm:presLayoutVars>
      </dgm:prSet>
      <dgm:spPr/>
    </dgm:pt>
    <dgm:pt modelId="{C245F444-E88B-44FD-A662-6A3C983447A8}" type="pres">
      <dgm:prSet presAssocID="{60AB4DE3-D318-48A2-8F8C-D5781FC8CB82}" presName="quadrantPlaceholder" presStyleCnt="0"/>
      <dgm:spPr/>
    </dgm:pt>
    <dgm:pt modelId="{EF50EFD2-EE17-4AE8-96D8-DE8FB6193B88}" type="pres">
      <dgm:prSet presAssocID="{60AB4DE3-D318-48A2-8F8C-D5781FC8CB82}" presName="center1" presStyleLbl="fgShp" presStyleIdx="0" presStyleCnt="2"/>
      <dgm:spPr/>
    </dgm:pt>
    <dgm:pt modelId="{80811036-1936-4C1C-B72E-2F0BB66B65AE}" type="pres">
      <dgm:prSet presAssocID="{60AB4DE3-D318-48A2-8F8C-D5781FC8CB82}" presName="center2" presStyleLbl="fgShp" presStyleIdx="1" presStyleCnt="2"/>
      <dgm:spPr/>
    </dgm:pt>
  </dgm:ptLst>
  <dgm:cxnLst>
    <dgm:cxn modelId="{CDD7E605-E3DD-4AAC-B062-10D9232915D6}" type="presOf" srcId="{733E488C-F956-4463-BF76-5CACB4C80541}" destId="{24503DCB-94D1-4C26-A3CE-0ED6D5A17FA7}" srcOrd="1" destOrd="0" presId="urn:microsoft.com/office/officeart/2005/8/layout/cycle4"/>
    <dgm:cxn modelId="{24FB920E-B7EE-4271-83F0-439D57D23AB9}" type="presOf" srcId="{05AB8116-D75F-45E7-B662-A6F65AC2E15D}" destId="{E4D3ABC0-BB1C-453C-B534-FDCFDCD9F527}" srcOrd="1" destOrd="0" presId="urn:microsoft.com/office/officeart/2005/8/layout/cycle4"/>
    <dgm:cxn modelId="{93B7E81E-D42B-43AD-AA2E-CC8AC8009316}" type="presOf" srcId="{30FC2258-FE3D-4A29-B838-6D5C86F7AC27}" destId="{752150EA-4397-43C1-A863-E0F0C2BE4AEE}" srcOrd="0" destOrd="0" presId="urn:microsoft.com/office/officeart/2005/8/layout/cycle4"/>
    <dgm:cxn modelId="{CA6B2323-88F4-47A6-AE96-2A59FAAA7682}" type="presOf" srcId="{49B47A95-836E-4F80-9FC7-FF3EBCC061FB}" destId="{EFF71E20-3624-4404-AA82-7E447AA05B69}" srcOrd="1" destOrd="0" presId="urn:microsoft.com/office/officeart/2005/8/layout/cycle4"/>
    <dgm:cxn modelId="{AB30A72A-078A-44DA-9073-F36DB8100BC7}" type="presOf" srcId="{49B47A95-836E-4F80-9FC7-FF3EBCC061FB}" destId="{BBB63C2A-9B56-497E-A566-D6E4403B78CB}" srcOrd="0" destOrd="0" presId="urn:microsoft.com/office/officeart/2005/8/layout/cycle4"/>
    <dgm:cxn modelId="{765D8B30-549A-4382-86E3-18805CBF7B59}" type="presOf" srcId="{E8EC46E4-7BFF-43F5-A418-704C408E2F94}" destId="{1A597A09-44C3-49DD-BFEB-75A408DA3BC9}" srcOrd="1" destOrd="0" presId="urn:microsoft.com/office/officeart/2005/8/layout/cycle4"/>
    <dgm:cxn modelId="{6906E35E-57B0-414E-AE4B-F77577D463E9}" srcId="{60AB4DE3-D318-48A2-8F8C-D5781FC8CB82}" destId="{86F1B4E3-F172-4046-9F83-5F17D2B35951}" srcOrd="3" destOrd="0" parTransId="{15780125-B719-4E5A-8E31-0FE109D09D41}" sibTransId="{FA1E447C-9FF5-4840-8B83-3D799884E060}"/>
    <dgm:cxn modelId="{F11D5967-A4C9-4CF6-8F61-F047AB61AE42}" type="presOf" srcId="{05AB8116-D75F-45E7-B662-A6F65AC2E15D}" destId="{87ECE47C-32A0-419E-A331-C85ED0F1DCE1}" srcOrd="0" destOrd="0" presId="urn:microsoft.com/office/officeart/2005/8/layout/cycle4"/>
    <dgm:cxn modelId="{28D6B66B-FC0E-4369-AE3A-BC5E32A2DC8F}" srcId="{60AB4DE3-D318-48A2-8F8C-D5781FC8CB82}" destId="{E629054C-9A4A-4188-9814-327A56E01D00}" srcOrd="2" destOrd="0" parTransId="{82FBE26F-2FFE-49D7-BB60-A5FA3E1BDF61}" sibTransId="{D4F6A741-430A-4322-83D1-4BAE03B1768F}"/>
    <dgm:cxn modelId="{FFBEBB6D-928E-4F7E-812C-18E86D3DB1BD}" srcId="{E629054C-9A4A-4188-9814-327A56E01D00}" destId="{733E488C-F956-4463-BF76-5CACB4C80541}" srcOrd="0" destOrd="0" parTransId="{CFCB22AC-DCEC-45D8-A585-A402F92D427C}" sibTransId="{72B29B3F-E7D3-4C70-BACC-B74CEFD1C3AC}"/>
    <dgm:cxn modelId="{569AF07C-CFC8-426E-AD5D-EF081BA5CD1B}" type="presOf" srcId="{60AB4DE3-D318-48A2-8F8C-D5781FC8CB82}" destId="{839395D9-6501-48EE-B3F7-AC13AEA3DCD7}" srcOrd="0" destOrd="0" presId="urn:microsoft.com/office/officeart/2005/8/layout/cycle4"/>
    <dgm:cxn modelId="{2FD5FA7C-4644-479F-8F1A-A60378CAF9FB}" srcId="{60AB4DE3-D318-48A2-8F8C-D5781FC8CB82}" destId="{30FC2258-FE3D-4A29-B838-6D5C86F7AC27}" srcOrd="0" destOrd="0" parTransId="{7D2710D3-AEC1-4D2C-9485-BE71D629C056}" sibTransId="{E7D25FD4-D856-4878-BAC4-238BF80A845E}"/>
    <dgm:cxn modelId="{A9330DA4-8A88-4BDF-9D80-CBD0B5DE2A02}" type="presOf" srcId="{E629054C-9A4A-4188-9814-327A56E01D00}" destId="{6A8432D0-6006-4257-B54E-21F2763FDB6D}" srcOrd="0" destOrd="0" presId="urn:microsoft.com/office/officeart/2005/8/layout/cycle4"/>
    <dgm:cxn modelId="{B90B17A5-E95C-4E7C-B8E4-962CF2923702}" srcId="{60AB4DE3-D318-48A2-8F8C-D5781FC8CB82}" destId="{AF8B5724-EE29-4CCE-BA6F-29DF8895CD9E}" srcOrd="1" destOrd="0" parTransId="{B64BBE8E-95DB-4E3B-9144-642C30B3ABA0}" sibTransId="{FBA5165D-EC3F-4917-9851-8496F1763D48}"/>
    <dgm:cxn modelId="{739FA1A5-42D1-4BEC-8523-E6ECFC49A1D1}" type="presOf" srcId="{E8EC46E4-7BFF-43F5-A418-704C408E2F94}" destId="{2EEF0009-EF5B-4F56-B873-9AD881994744}" srcOrd="0" destOrd="0" presId="urn:microsoft.com/office/officeart/2005/8/layout/cycle4"/>
    <dgm:cxn modelId="{0F5B8FCF-1367-42B0-BC57-CE6462CFD919}" type="presOf" srcId="{AF8B5724-EE29-4CCE-BA6F-29DF8895CD9E}" destId="{F97EB24F-0A91-48B6-BDF0-328B9C3DCFD4}" srcOrd="0" destOrd="0" presId="urn:microsoft.com/office/officeart/2005/8/layout/cycle4"/>
    <dgm:cxn modelId="{9713F2D3-863B-457B-93A4-135500A49C16}" type="presOf" srcId="{86F1B4E3-F172-4046-9F83-5F17D2B35951}" destId="{6D167118-B9D9-423A-BA57-C4470F6B2155}" srcOrd="0" destOrd="0" presId="urn:microsoft.com/office/officeart/2005/8/layout/cycle4"/>
    <dgm:cxn modelId="{0BC338E4-B046-4D60-86B5-D2EBA3833545}" srcId="{AF8B5724-EE29-4CCE-BA6F-29DF8895CD9E}" destId="{05AB8116-D75F-45E7-B662-A6F65AC2E15D}" srcOrd="0" destOrd="0" parTransId="{6AF8E220-3935-4418-A829-31235ABE277F}" sibTransId="{BC4F2C08-7E2E-4782-8055-715507B95848}"/>
    <dgm:cxn modelId="{C6A223EA-6142-47AC-82BA-9890EA056FB4}" srcId="{30FC2258-FE3D-4A29-B838-6D5C86F7AC27}" destId="{E8EC46E4-7BFF-43F5-A418-704C408E2F94}" srcOrd="0" destOrd="0" parTransId="{7512AD9B-DCC7-4839-875A-33A7752E72D2}" sibTransId="{A8D44E8A-FF16-4620-B58E-9139C3D32398}"/>
    <dgm:cxn modelId="{C80ED9EE-5E49-4778-9F51-906DDEAC84E5}" srcId="{86F1B4E3-F172-4046-9F83-5F17D2B35951}" destId="{49B47A95-836E-4F80-9FC7-FF3EBCC061FB}" srcOrd="0" destOrd="0" parTransId="{302B9D14-E97A-4050-9B20-5A92EB7A29FC}" sibTransId="{492BDE0C-ECF1-4965-A1E3-07F65EBBC421}"/>
    <dgm:cxn modelId="{DA8B1EFE-54F9-44D9-B198-FBD35A329098}" type="presOf" srcId="{733E488C-F956-4463-BF76-5CACB4C80541}" destId="{1FF03427-CE18-44D9-896A-F00738AC9376}" srcOrd="0" destOrd="0" presId="urn:microsoft.com/office/officeart/2005/8/layout/cycle4"/>
    <dgm:cxn modelId="{BDA6FF08-C888-4039-A68E-C6087E1C2230}" type="presParOf" srcId="{839395D9-6501-48EE-B3F7-AC13AEA3DCD7}" destId="{64540813-CD35-4CE1-A3E4-77975D8C26BE}" srcOrd="0" destOrd="0" presId="urn:microsoft.com/office/officeart/2005/8/layout/cycle4"/>
    <dgm:cxn modelId="{50CEF268-D1B6-4F16-ABF3-584CB763CA67}" type="presParOf" srcId="{64540813-CD35-4CE1-A3E4-77975D8C26BE}" destId="{4903751D-1007-42B2-9F38-1A2969464C2D}" srcOrd="0" destOrd="0" presId="urn:microsoft.com/office/officeart/2005/8/layout/cycle4"/>
    <dgm:cxn modelId="{2CE67C00-DFFA-461C-9AFE-12B49A44BEA3}" type="presParOf" srcId="{4903751D-1007-42B2-9F38-1A2969464C2D}" destId="{2EEF0009-EF5B-4F56-B873-9AD881994744}" srcOrd="0" destOrd="0" presId="urn:microsoft.com/office/officeart/2005/8/layout/cycle4"/>
    <dgm:cxn modelId="{54287E61-CAF4-48A6-AA1B-037F8E69EA43}" type="presParOf" srcId="{4903751D-1007-42B2-9F38-1A2969464C2D}" destId="{1A597A09-44C3-49DD-BFEB-75A408DA3BC9}" srcOrd="1" destOrd="0" presId="urn:microsoft.com/office/officeart/2005/8/layout/cycle4"/>
    <dgm:cxn modelId="{3D7F9FB2-E170-4702-B512-94E9B8444499}" type="presParOf" srcId="{64540813-CD35-4CE1-A3E4-77975D8C26BE}" destId="{64EC0F0A-9178-4140-9053-8EB1F667EE02}" srcOrd="1" destOrd="0" presId="urn:microsoft.com/office/officeart/2005/8/layout/cycle4"/>
    <dgm:cxn modelId="{81078314-C97C-45DB-95CB-7543C2F31784}" type="presParOf" srcId="{64EC0F0A-9178-4140-9053-8EB1F667EE02}" destId="{87ECE47C-32A0-419E-A331-C85ED0F1DCE1}" srcOrd="0" destOrd="0" presId="urn:microsoft.com/office/officeart/2005/8/layout/cycle4"/>
    <dgm:cxn modelId="{516DC080-5541-4618-8CCF-5992B5DD7321}" type="presParOf" srcId="{64EC0F0A-9178-4140-9053-8EB1F667EE02}" destId="{E4D3ABC0-BB1C-453C-B534-FDCFDCD9F527}" srcOrd="1" destOrd="0" presId="urn:microsoft.com/office/officeart/2005/8/layout/cycle4"/>
    <dgm:cxn modelId="{97687666-E710-4E93-A8CE-4FE903514329}" type="presParOf" srcId="{64540813-CD35-4CE1-A3E4-77975D8C26BE}" destId="{3DD732B3-2B92-4E53-BF9E-C3FC7FA312C6}" srcOrd="2" destOrd="0" presId="urn:microsoft.com/office/officeart/2005/8/layout/cycle4"/>
    <dgm:cxn modelId="{DB747256-F3EB-456C-A482-6835F89BC769}" type="presParOf" srcId="{3DD732B3-2B92-4E53-BF9E-C3FC7FA312C6}" destId="{1FF03427-CE18-44D9-896A-F00738AC9376}" srcOrd="0" destOrd="0" presId="urn:microsoft.com/office/officeart/2005/8/layout/cycle4"/>
    <dgm:cxn modelId="{F61B6E2B-DB96-4386-A5B6-E90B67FA9AC8}" type="presParOf" srcId="{3DD732B3-2B92-4E53-BF9E-C3FC7FA312C6}" destId="{24503DCB-94D1-4C26-A3CE-0ED6D5A17FA7}" srcOrd="1" destOrd="0" presId="urn:microsoft.com/office/officeart/2005/8/layout/cycle4"/>
    <dgm:cxn modelId="{09AD25EE-C871-4CED-963F-41E50089B83B}" type="presParOf" srcId="{64540813-CD35-4CE1-A3E4-77975D8C26BE}" destId="{9C2F3BE0-B845-40D7-9F1B-95C6608736AB}" srcOrd="3" destOrd="0" presId="urn:microsoft.com/office/officeart/2005/8/layout/cycle4"/>
    <dgm:cxn modelId="{F595F2BC-0104-46E4-8A9A-01030643FA1F}" type="presParOf" srcId="{9C2F3BE0-B845-40D7-9F1B-95C6608736AB}" destId="{BBB63C2A-9B56-497E-A566-D6E4403B78CB}" srcOrd="0" destOrd="0" presId="urn:microsoft.com/office/officeart/2005/8/layout/cycle4"/>
    <dgm:cxn modelId="{464C2036-C108-49F6-9333-06A28638C0E0}" type="presParOf" srcId="{9C2F3BE0-B845-40D7-9F1B-95C6608736AB}" destId="{EFF71E20-3624-4404-AA82-7E447AA05B69}" srcOrd="1" destOrd="0" presId="urn:microsoft.com/office/officeart/2005/8/layout/cycle4"/>
    <dgm:cxn modelId="{355CCAE8-F89D-4564-83C0-4E8D3D53D8EE}" type="presParOf" srcId="{64540813-CD35-4CE1-A3E4-77975D8C26BE}" destId="{759E81C7-0DD4-4AB7-8B86-7C12F7D613D1}" srcOrd="4" destOrd="0" presId="urn:microsoft.com/office/officeart/2005/8/layout/cycle4"/>
    <dgm:cxn modelId="{7A9AC749-0C52-48D0-A09E-336C5BD712DC}" type="presParOf" srcId="{839395D9-6501-48EE-B3F7-AC13AEA3DCD7}" destId="{492E01D8-0D98-48E4-BE73-6DE8863D9E49}" srcOrd="1" destOrd="0" presId="urn:microsoft.com/office/officeart/2005/8/layout/cycle4"/>
    <dgm:cxn modelId="{DB5FFBDA-CE9F-4488-8C0B-647C12D24CB8}" type="presParOf" srcId="{492E01D8-0D98-48E4-BE73-6DE8863D9E49}" destId="{752150EA-4397-43C1-A863-E0F0C2BE4AEE}" srcOrd="0" destOrd="0" presId="urn:microsoft.com/office/officeart/2005/8/layout/cycle4"/>
    <dgm:cxn modelId="{475F18DC-383C-4F13-B1EE-574E3506C8F6}" type="presParOf" srcId="{492E01D8-0D98-48E4-BE73-6DE8863D9E49}" destId="{F97EB24F-0A91-48B6-BDF0-328B9C3DCFD4}" srcOrd="1" destOrd="0" presId="urn:microsoft.com/office/officeart/2005/8/layout/cycle4"/>
    <dgm:cxn modelId="{9AC31C0F-1583-403A-9F38-2EF897B25994}" type="presParOf" srcId="{492E01D8-0D98-48E4-BE73-6DE8863D9E49}" destId="{6A8432D0-6006-4257-B54E-21F2763FDB6D}" srcOrd="2" destOrd="0" presId="urn:microsoft.com/office/officeart/2005/8/layout/cycle4"/>
    <dgm:cxn modelId="{313FB45A-84ED-4FDF-96BA-73738A1F49C5}" type="presParOf" srcId="{492E01D8-0D98-48E4-BE73-6DE8863D9E49}" destId="{6D167118-B9D9-423A-BA57-C4470F6B2155}" srcOrd="3" destOrd="0" presId="urn:microsoft.com/office/officeart/2005/8/layout/cycle4"/>
    <dgm:cxn modelId="{68C7020D-FF53-48EE-A55A-133A57022A7A}" type="presParOf" srcId="{492E01D8-0D98-48E4-BE73-6DE8863D9E49}" destId="{C245F444-E88B-44FD-A662-6A3C983447A8}" srcOrd="4" destOrd="0" presId="urn:microsoft.com/office/officeart/2005/8/layout/cycle4"/>
    <dgm:cxn modelId="{59F59BC8-2F76-4F64-AC69-A8E14DD80408}" type="presParOf" srcId="{839395D9-6501-48EE-B3F7-AC13AEA3DCD7}" destId="{EF50EFD2-EE17-4AE8-96D8-DE8FB6193B88}" srcOrd="2" destOrd="0" presId="urn:microsoft.com/office/officeart/2005/8/layout/cycle4"/>
    <dgm:cxn modelId="{597EC7EB-07E1-4A31-8EA9-C9C67F9FF7F4}" type="presParOf" srcId="{839395D9-6501-48EE-B3F7-AC13AEA3DCD7}" destId="{80811036-1936-4C1C-B72E-2F0BB66B65AE}" srcOrd="3" destOrd="0" presId="urn:microsoft.com/office/officeart/2005/8/layout/cycle4"/>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F03427-CE18-44D9-896A-F00738AC9376}">
      <dsp:nvSpPr>
        <dsp:cNvPr id="0" name=""/>
        <dsp:cNvSpPr/>
      </dsp:nvSpPr>
      <dsp:spPr>
        <a:xfrm>
          <a:off x="2659907" y="1384566"/>
          <a:ext cx="2035913" cy="5775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kumimoji="1" lang="ja-JP" altLang="en-US" sz="1050" kern="1200">
              <a:latin typeface="+mj-ea"/>
              <a:ea typeface="+mj-ea"/>
            </a:rPr>
            <a:t>データ分析に基づく効果測定・評価</a:t>
          </a:r>
        </a:p>
      </dsp:txBody>
      <dsp:txXfrm>
        <a:off x="3283369" y="1541650"/>
        <a:ext cx="1399763" cy="407812"/>
      </dsp:txXfrm>
    </dsp:sp>
    <dsp:sp modelId="{BBB63C2A-9B56-497E-A566-D6E4403B78CB}">
      <dsp:nvSpPr>
        <dsp:cNvPr id="0" name=""/>
        <dsp:cNvSpPr/>
      </dsp:nvSpPr>
      <dsp:spPr>
        <a:xfrm>
          <a:off x="0" y="1443905"/>
          <a:ext cx="1971178" cy="546819"/>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kumimoji="1" lang="ja-JP" altLang="en-US" sz="1050" kern="1200">
              <a:latin typeface="+mj-ea"/>
              <a:ea typeface="+mj-ea"/>
            </a:rPr>
            <a:t>次サイクルに向けて修正</a:t>
          </a:r>
        </a:p>
      </dsp:txBody>
      <dsp:txXfrm>
        <a:off x="12012" y="1592622"/>
        <a:ext cx="1355801" cy="386090"/>
      </dsp:txXfrm>
    </dsp:sp>
    <dsp:sp modelId="{87ECE47C-32A0-419E-A331-C85ED0F1DCE1}">
      <dsp:nvSpPr>
        <dsp:cNvPr id="0" name=""/>
        <dsp:cNvSpPr/>
      </dsp:nvSpPr>
      <dsp:spPr>
        <a:xfrm>
          <a:off x="2505660" y="23409"/>
          <a:ext cx="2190164" cy="50062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kumimoji="1" lang="ja-JP" altLang="en-US" sz="1050" kern="1200">
              <a:latin typeface="+mj-ea"/>
              <a:ea typeface="+mj-ea"/>
            </a:rPr>
            <a:t>保健事業の実施</a:t>
          </a:r>
        </a:p>
      </dsp:txBody>
      <dsp:txXfrm>
        <a:off x="3173706" y="34406"/>
        <a:ext cx="1511121" cy="353471"/>
      </dsp:txXfrm>
    </dsp:sp>
    <dsp:sp modelId="{2EEF0009-EF5B-4F56-B873-9AD881994744}">
      <dsp:nvSpPr>
        <dsp:cNvPr id="0" name=""/>
        <dsp:cNvSpPr/>
      </dsp:nvSpPr>
      <dsp:spPr>
        <a:xfrm>
          <a:off x="0" y="46105"/>
          <a:ext cx="2258237" cy="506347"/>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t" anchorCtr="0">
          <a:noAutofit/>
        </a:bodyPr>
        <a:lstStyle/>
        <a:p>
          <a:pPr marL="57150" lvl="1" indent="-57150" algn="l" defTabSz="466725">
            <a:lnSpc>
              <a:spcPct val="90000"/>
            </a:lnSpc>
            <a:spcBef>
              <a:spcPct val="0"/>
            </a:spcBef>
            <a:spcAft>
              <a:spcPct val="15000"/>
            </a:spcAft>
            <a:buChar char="•"/>
          </a:pPr>
          <a:r>
            <a:rPr kumimoji="1" lang="ja-JP" altLang="en-US" sz="1050" kern="1200">
              <a:latin typeface="+mj-ea"/>
              <a:ea typeface="+mj-ea"/>
            </a:rPr>
            <a:t>データ分析に基づく　　事業の立案</a:t>
          </a:r>
        </a:p>
      </dsp:txBody>
      <dsp:txXfrm>
        <a:off x="11123" y="57228"/>
        <a:ext cx="1558520" cy="357514"/>
      </dsp:txXfrm>
    </dsp:sp>
    <dsp:sp modelId="{752150EA-4397-43C1-A863-E0F0C2BE4AEE}">
      <dsp:nvSpPr>
        <dsp:cNvPr id="0" name=""/>
        <dsp:cNvSpPr/>
      </dsp:nvSpPr>
      <dsp:spPr>
        <a:xfrm>
          <a:off x="1423825" y="118900"/>
          <a:ext cx="903227" cy="903227"/>
        </a:xfrm>
        <a:prstGeom prst="pieWedg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a:t>Plan</a:t>
          </a:r>
        </a:p>
        <a:p>
          <a:pPr marL="0" lvl="0" indent="0" algn="ctr" defTabSz="444500">
            <a:lnSpc>
              <a:spcPct val="90000"/>
            </a:lnSpc>
            <a:spcBef>
              <a:spcPct val="0"/>
            </a:spcBef>
            <a:spcAft>
              <a:spcPct val="35000"/>
            </a:spcAft>
            <a:buNone/>
          </a:pPr>
          <a:r>
            <a:rPr kumimoji="1" lang="ja-JP" altLang="en-US" sz="800" kern="1200"/>
            <a:t>（計画）</a:t>
          </a:r>
        </a:p>
      </dsp:txBody>
      <dsp:txXfrm>
        <a:off x="1688374" y="383449"/>
        <a:ext cx="638678" cy="638678"/>
      </dsp:txXfrm>
    </dsp:sp>
    <dsp:sp modelId="{F97EB24F-0A91-48B6-BDF0-328B9C3DCFD4}">
      <dsp:nvSpPr>
        <dsp:cNvPr id="0" name=""/>
        <dsp:cNvSpPr/>
      </dsp:nvSpPr>
      <dsp:spPr>
        <a:xfrm rot="5400000">
          <a:off x="2368772" y="118900"/>
          <a:ext cx="903227" cy="903227"/>
        </a:xfrm>
        <a:prstGeom prst="pieWedg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marL="0" lvl="0" indent="0" algn="ctr" defTabSz="400050">
            <a:lnSpc>
              <a:spcPct val="90000"/>
            </a:lnSpc>
            <a:spcBef>
              <a:spcPct val="0"/>
            </a:spcBef>
            <a:spcAft>
              <a:spcPct val="35000"/>
            </a:spcAft>
            <a:buNone/>
          </a:pPr>
          <a:r>
            <a:rPr kumimoji="1" lang="en-US" altLang="ja-JP" sz="900" kern="1200"/>
            <a:t>Do</a:t>
          </a:r>
        </a:p>
        <a:p>
          <a:pPr marL="0" lvl="0" indent="0" algn="ctr" defTabSz="400050">
            <a:lnSpc>
              <a:spcPct val="90000"/>
            </a:lnSpc>
            <a:spcBef>
              <a:spcPct val="0"/>
            </a:spcBef>
            <a:spcAft>
              <a:spcPct val="35000"/>
            </a:spcAft>
            <a:buNone/>
          </a:pPr>
          <a:r>
            <a:rPr kumimoji="1" lang="ja-JP" altLang="en-US" sz="900" kern="1200"/>
            <a:t>（</a:t>
          </a:r>
          <a:r>
            <a:rPr kumimoji="1" lang="ja-JP" altLang="en-US" sz="800" kern="1200"/>
            <a:t>実施）</a:t>
          </a:r>
        </a:p>
      </dsp:txBody>
      <dsp:txXfrm rot="-5400000">
        <a:off x="2368772" y="383449"/>
        <a:ext cx="638678" cy="638678"/>
      </dsp:txXfrm>
    </dsp:sp>
    <dsp:sp modelId="{6A8432D0-6006-4257-B54E-21F2763FDB6D}">
      <dsp:nvSpPr>
        <dsp:cNvPr id="0" name=""/>
        <dsp:cNvSpPr/>
      </dsp:nvSpPr>
      <dsp:spPr>
        <a:xfrm rot="10800000">
          <a:off x="2368772" y="1063847"/>
          <a:ext cx="903227" cy="903227"/>
        </a:xfrm>
        <a:prstGeom prst="pieWedg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ctr" defTabSz="355600">
            <a:lnSpc>
              <a:spcPct val="90000"/>
            </a:lnSpc>
            <a:spcBef>
              <a:spcPct val="0"/>
            </a:spcBef>
            <a:spcAft>
              <a:spcPct val="35000"/>
            </a:spcAft>
            <a:buNone/>
          </a:pPr>
          <a:r>
            <a:rPr kumimoji="1" lang="en-US" altLang="ja-JP" sz="800" kern="1200"/>
            <a:t>Check</a:t>
          </a:r>
        </a:p>
        <a:p>
          <a:pPr marL="0" lvl="0" indent="0" algn="ctr" defTabSz="355600">
            <a:lnSpc>
              <a:spcPct val="90000"/>
            </a:lnSpc>
            <a:spcBef>
              <a:spcPct val="0"/>
            </a:spcBef>
            <a:spcAft>
              <a:spcPct val="35000"/>
            </a:spcAft>
            <a:buNone/>
          </a:pPr>
          <a:r>
            <a:rPr kumimoji="1" lang="en-US" altLang="ja-JP" sz="800" kern="1200"/>
            <a:t>(</a:t>
          </a:r>
          <a:r>
            <a:rPr kumimoji="1" lang="ja-JP" altLang="en-US" sz="800" kern="1200"/>
            <a:t>評価）</a:t>
          </a:r>
        </a:p>
      </dsp:txBody>
      <dsp:txXfrm rot="10800000">
        <a:off x="2368772" y="1063847"/>
        <a:ext cx="638678" cy="638678"/>
      </dsp:txXfrm>
    </dsp:sp>
    <dsp:sp modelId="{6D167118-B9D9-423A-BA57-C4470F6B2155}">
      <dsp:nvSpPr>
        <dsp:cNvPr id="0" name=""/>
        <dsp:cNvSpPr/>
      </dsp:nvSpPr>
      <dsp:spPr>
        <a:xfrm rot="16200000">
          <a:off x="1413393" y="1063847"/>
          <a:ext cx="903227" cy="903227"/>
        </a:xfrm>
        <a:prstGeom prst="pieWedge">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kumimoji="1" lang="en-US" altLang="ja-JP" sz="1000" kern="1200"/>
            <a:t>Act</a:t>
          </a:r>
        </a:p>
        <a:p>
          <a:pPr marL="0" lvl="0" indent="0" algn="ctr" defTabSz="444500">
            <a:lnSpc>
              <a:spcPct val="90000"/>
            </a:lnSpc>
            <a:spcBef>
              <a:spcPct val="0"/>
            </a:spcBef>
            <a:spcAft>
              <a:spcPct val="35000"/>
            </a:spcAft>
            <a:buNone/>
          </a:pPr>
          <a:r>
            <a:rPr kumimoji="1" lang="ja-JP" altLang="en-US" sz="800" kern="1200"/>
            <a:t>（改善）</a:t>
          </a:r>
        </a:p>
      </dsp:txBody>
      <dsp:txXfrm rot="5400000">
        <a:off x="1677942" y="1063847"/>
        <a:ext cx="638678" cy="638678"/>
      </dsp:txXfrm>
    </dsp:sp>
    <dsp:sp modelId="{EF50EFD2-EE17-4AE8-96D8-DE8FB6193B88}">
      <dsp:nvSpPr>
        <dsp:cNvPr id="0" name=""/>
        <dsp:cNvSpPr/>
      </dsp:nvSpPr>
      <dsp:spPr>
        <a:xfrm>
          <a:off x="2191985" y="855249"/>
          <a:ext cx="311853" cy="271176"/>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0811036-1936-4C1C-B72E-2F0BB66B65AE}">
      <dsp:nvSpPr>
        <dsp:cNvPr id="0" name=""/>
        <dsp:cNvSpPr/>
      </dsp:nvSpPr>
      <dsp:spPr>
        <a:xfrm rot="10800000">
          <a:off x="2191985" y="959548"/>
          <a:ext cx="311853" cy="271176"/>
        </a:xfrm>
        <a:prstGeom prst="circularArrow">
          <a:avLst/>
        </a:prstGeom>
        <a:solidFill>
          <a:schemeClr val="accent2">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0.84366</cdr:x>
      <cdr:y>0.20884</cdr:y>
    </cdr:from>
    <cdr:to>
      <cdr:x>0.98092</cdr:x>
      <cdr:y>0.33302</cdr:y>
    </cdr:to>
    <cdr:sp macro="" textlink="">
      <cdr:nvSpPr>
        <cdr:cNvPr id="2" name="正方形/長方形 1"/>
        <cdr:cNvSpPr/>
      </cdr:nvSpPr>
      <cdr:spPr>
        <a:xfrm xmlns:a="http://schemas.openxmlformats.org/drawingml/2006/main">
          <a:off x="4800600" y="704833"/>
          <a:ext cx="781050" cy="41911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pPr algn="l"/>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埼玉県</a:t>
          </a:r>
          <a:endParaRPr lang="en-US" alt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a:p xmlns:a="http://schemas.openxmlformats.org/drawingml/2006/main">
          <a:pPr algn="l"/>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男性</a:t>
          </a:r>
          <a:endParaRPr 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0.84366</cdr:x>
      <cdr:y>0.37347</cdr:y>
    </cdr:from>
    <cdr:to>
      <cdr:x>0.99096</cdr:x>
      <cdr:y>0.5334</cdr:y>
    </cdr:to>
    <cdr:sp macro="" textlink="">
      <cdr:nvSpPr>
        <cdr:cNvPr id="3" name="正方形/長方形 2"/>
        <cdr:cNvSpPr/>
      </cdr:nvSpPr>
      <cdr:spPr>
        <a:xfrm xmlns:a="http://schemas.openxmlformats.org/drawingml/2006/main" rot="10800000" flipV="1">
          <a:off x="4800600" y="1260466"/>
          <a:ext cx="838216" cy="53976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鶴ヶ島市　　男性</a:t>
          </a:r>
          <a:endParaRPr 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0.85269</cdr:x>
      <cdr:y>0.37737</cdr:y>
    </cdr:from>
    <cdr:to>
      <cdr:x>0.98761</cdr:x>
      <cdr:y>0.52418</cdr:y>
    </cdr:to>
    <cdr:sp macro="" textlink="">
      <cdr:nvSpPr>
        <cdr:cNvPr id="2" name="正方形/長方形 1"/>
        <cdr:cNvSpPr/>
      </cdr:nvSpPr>
      <cdr:spPr>
        <a:xfrm xmlns:a="http://schemas.openxmlformats.org/drawingml/2006/main" rot="10800000" flipV="1">
          <a:off x="4852019" y="1387466"/>
          <a:ext cx="767731" cy="53976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鶴ヶ島市　　女性</a:t>
          </a:r>
          <a:endParaRPr 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cdr:txBody>
    </cdr:sp>
  </cdr:relSizeAnchor>
  <cdr:relSizeAnchor xmlns:cdr="http://schemas.openxmlformats.org/drawingml/2006/chartDrawing">
    <cdr:from>
      <cdr:x>0.85258</cdr:x>
      <cdr:y>0.22884</cdr:y>
    </cdr:from>
    <cdr:to>
      <cdr:x>0.98984</cdr:x>
      <cdr:y>0.34283</cdr:y>
    </cdr:to>
    <cdr:sp macro="" textlink="">
      <cdr:nvSpPr>
        <cdr:cNvPr id="3" name="正方形/長方形 2"/>
        <cdr:cNvSpPr/>
      </cdr:nvSpPr>
      <cdr:spPr>
        <a:xfrm xmlns:a="http://schemas.openxmlformats.org/drawingml/2006/main">
          <a:off x="4851400" y="841358"/>
          <a:ext cx="781050" cy="41911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埼玉県</a:t>
          </a:r>
          <a:endParaRPr lang="en-US" alt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a:p xmlns:a="http://schemas.openxmlformats.org/drawingml/2006/main">
          <a:pPr algn="l"/>
          <a:r>
            <a:rPr lang="ja-JP" altLang="en-US" sz="900">
              <a:solidFill>
                <a:schemeClr val="tx1">
                  <a:lumMod val="75000"/>
                  <a:lumOff val="25000"/>
                </a:schemeClr>
              </a:solidFill>
              <a:latin typeface="ＭＳ Ｐゴシック" panose="020B0600070205080204" pitchFamily="50" charset="-128"/>
              <a:ea typeface="ＭＳ Ｐゴシック" panose="020B0600070205080204" pitchFamily="50" charset="-128"/>
            </a:rPr>
            <a:t>女性</a:t>
          </a:r>
          <a:endParaRPr lang="ja-JP" sz="900">
            <a:solidFill>
              <a:schemeClr val="tx1">
                <a:lumMod val="75000"/>
                <a:lumOff val="25000"/>
              </a:schemeClr>
            </a:solidFill>
            <a:latin typeface="ＭＳ Ｐゴシック" panose="020B0600070205080204" pitchFamily="50" charset="-128"/>
            <a:ea typeface="ＭＳ Ｐゴシック" panose="020B0600070205080204" pitchFamily="50" charset="-128"/>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0.14786</cdr:x>
      <cdr:y>0.79226</cdr:y>
    </cdr:from>
    <cdr:to>
      <cdr:x>1</cdr:x>
      <cdr:y>1</cdr:y>
    </cdr:to>
    <cdr:sp macro="" textlink="">
      <cdr:nvSpPr>
        <cdr:cNvPr id="2" name="正方形/長方形 1">
          <a:extLst xmlns:a="http://schemas.openxmlformats.org/drawingml/2006/main">
            <a:ext uri="{FF2B5EF4-FFF2-40B4-BE49-F238E27FC236}">
              <a16:creationId xmlns:a16="http://schemas.microsoft.com/office/drawing/2014/main" id="{ABE65B13-2BE2-492D-B25B-0BD78F08DC3A}"/>
            </a:ext>
          </a:extLst>
        </cdr:cNvPr>
        <cdr:cNvSpPr/>
      </cdr:nvSpPr>
      <cdr:spPr>
        <a:xfrm xmlns:a="http://schemas.openxmlformats.org/drawingml/2006/main">
          <a:off x="447311" y="2519464"/>
          <a:ext cx="2577829" cy="66061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defPPr>
            <a:defRPr lang="ja-JP"/>
          </a:defPPr>
          <a:lvl1pPr marL="0" algn="l" defTabSz="914400" rtl="0" eaLnBrk="1" latinLnBrk="0" hangingPunct="1">
            <a:defRPr kumimoji="1" sz="1800" kern="1200">
              <a:solidFill>
                <a:schemeClr val="dk1"/>
              </a:solidFill>
              <a:latin typeface="+mn-lt"/>
              <a:ea typeface="+mn-ea"/>
              <a:cs typeface="+mn-cs"/>
            </a:defRPr>
          </a:lvl1pPr>
          <a:lvl2pPr marL="457200" algn="l" defTabSz="914400" rtl="0" eaLnBrk="1" latinLnBrk="0" hangingPunct="1">
            <a:defRPr kumimoji="1" sz="1800" kern="1200">
              <a:solidFill>
                <a:schemeClr val="dk1"/>
              </a:solidFill>
              <a:latin typeface="+mn-lt"/>
              <a:ea typeface="+mn-ea"/>
              <a:cs typeface="+mn-cs"/>
            </a:defRPr>
          </a:lvl2pPr>
          <a:lvl3pPr marL="914400" algn="l" defTabSz="914400" rtl="0" eaLnBrk="1" latinLnBrk="0" hangingPunct="1">
            <a:defRPr kumimoji="1" sz="1800" kern="1200">
              <a:solidFill>
                <a:schemeClr val="dk1"/>
              </a:solidFill>
              <a:latin typeface="+mn-lt"/>
              <a:ea typeface="+mn-ea"/>
              <a:cs typeface="+mn-cs"/>
            </a:defRPr>
          </a:lvl3pPr>
          <a:lvl4pPr marL="1371600" algn="l" defTabSz="914400" rtl="0" eaLnBrk="1" latinLnBrk="0" hangingPunct="1">
            <a:defRPr kumimoji="1" sz="1800" kern="1200">
              <a:solidFill>
                <a:schemeClr val="dk1"/>
              </a:solidFill>
              <a:latin typeface="+mn-lt"/>
              <a:ea typeface="+mn-ea"/>
              <a:cs typeface="+mn-cs"/>
            </a:defRPr>
          </a:lvl4pPr>
          <a:lvl5pPr marL="1828800" algn="l" defTabSz="914400" rtl="0" eaLnBrk="1" latinLnBrk="0" hangingPunct="1">
            <a:defRPr kumimoji="1" sz="1800" kern="1200">
              <a:solidFill>
                <a:schemeClr val="dk1"/>
              </a:solidFill>
              <a:latin typeface="+mn-lt"/>
              <a:ea typeface="+mn-ea"/>
              <a:cs typeface="+mn-cs"/>
            </a:defRPr>
          </a:lvl5pPr>
          <a:lvl6pPr marL="2286000" algn="l" defTabSz="914400" rtl="0" eaLnBrk="1" latinLnBrk="0" hangingPunct="1">
            <a:defRPr kumimoji="1" sz="1800" kern="1200">
              <a:solidFill>
                <a:schemeClr val="dk1"/>
              </a:solidFill>
              <a:latin typeface="+mn-lt"/>
              <a:ea typeface="+mn-ea"/>
              <a:cs typeface="+mn-cs"/>
            </a:defRPr>
          </a:lvl6pPr>
          <a:lvl7pPr marL="2743200" algn="l" defTabSz="914400" rtl="0" eaLnBrk="1" latinLnBrk="0" hangingPunct="1">
            <a:defRPr kumimoji="1" sz="1800" kern="1200">
              <a:solidFill>
                <a:schemeClr val="dk1"/>
              </a:solidFill>
              <a:latin typeface="+mn-lt"/>
              <a:ea typeface="+mn-ea"/>
              <a:cs typeface="+mn-cs"/>
            </a:defRPr>
          </a:lvl7pPr>
          <a:lvl8pPr marL="3200400" algn="l" defTabSz="914400" rtl="0" eaLnBrk="1" latinLnBrk="0" hangingPunct="1">
            <a:defRPr kumimoji="1" sz="1800" kern="1200">
              <a:solidFill>
                <a:schemeClr val="dk1"/>
              </a:solidFill>
              <a:latin typeface="+mn-lt"/>
              <a:ea typeface="+mn-ea"/>
              <a:cs typeface="+mn-cs"/>
            </a:defRPr>
          </a:lvl8pPr>
          <a:lvl9pPr marL="3657600" algn="l" defTabSz="914400" rtl="0" eaLnBrk="1" latinLnBrk="0" hangingPunct="1">
            <a:defRPr kumimoji="1" sz="1800" kern="1200">
              <a:solidFill>
                <a:schemeClr val="dk1"/>
              </a:solidFill>
              <a:latin typeface="+mn-lt"/>
              <a:ea typeface="+mn-ea"/>
              <a:cs typeface="+mn-cs"/>
            </a:defRPr>
          </a:lvl9pPr>
        </a:lstStyle>
        <a:p xmlns:a="http://schemas.openxmlformats.org/drawingml/2006/main">
          <a:pPr algn="l"/>
          <a:endParaRPr kumimoji="1" lang="ja-JP" altLang="en-US" sz="800" dirty="0">
            <a:latin typeface="ＭＳ Ｐゴシック" panose="020B0600070205080204" pitchFamily="50" charset="-128"/>
            <a:ea typeface="ＭＳ Ｐゴシック" panose="020B0600070205080204" pitchFamily="50" charset="-128"/>
          </a:endParaRP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21A03D-852F-4284-944F-B3A74613B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1546</TotalTime>
  <Pages>28</Pages>
  <Words>1922</Words>
  <Characters>10958</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嵐山町</Company>
  <LinksUpToDate>false</LinksUpToDate>
  <CharactersWithSpaces>12855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ociaclientuser</dc:creator>
  <cp:revision>189</cp:revision>
  <cp:lastPrinted>2021-01-28T00:48:00Z</cp:lastPrinted>
  <dcterms:created xsi:type="dcterms:W3CDTF">2021-01-13T03:01:00Z</dcterms:created>
  <dcterms:modified xsi:type="dcterms:W3CDTF">2021-01-29T05:42:00Z</dcterms:modified>
</cp:coreProperties>
</file>